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CBE7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900" w:lineRule="atLeast"/>
        <w:ind w:left="0" w:right="0" w:firstLine="0"/>
        <w:jc w:val="center"/>
        <w:rPr>
          <w:rFonts w:ascii="微软雅黑" w:hAnsi="微软雅黑" w:eastAsia="微软雅黑" w:cs="微软雅黑"/>
          <w:i w:val="0"/>
          <w:iCs w:val="0"/>
          <w:caps w:val="0"/>
          <w:color w:val="222222"/>
          <w:spacing w:val="15"/>
          <w:sz w:val="60"/>
          <w:szCs w:val="60"/>
        </w:rPr>
      </w:pPr>
      <w:r>
        <w:rPr>
          <w:rFonts w:hint="eastAsia" w:ascii="微软雅黑" w:hAnsi="微软雅黑" w:eastAsia="微软雅黑" w:cs="微软雅黑"/>
          <w:i w:val="0"/>
          <w:iCs w:val="0"/>
          <w:caps w:val="0"/>
          <w:color w:val="222222"/>
          <w:spacing w:val="15"/>
          <w:kern w:val="0"/>
          <w:sz w:val="60"/>
          <w:szCs w:val="60"/>
          <w:bdr w:val="none" w:color="auto" w:sz="0" w:space="0"/>
          <w:lang w:val="en-US" w:eastAsia="zh-CN" w:bidi="ar"/>
        </w:rPr>
        <w:t>四川省艺术基金2026年度美术作品展览资助项目申报指南</w:t>
      </w:r>
    </w:p>
    <w:p w14:paraId="342F7F4D">
      <w:pPr>
        <w:keepNext w:val="0"/>
        <w:keepLines w:val="0"/>
        <w:widowControl/>
        <w:suppressLineNumbers w:val="0"/>
        <w:pBdr>
          <w:top w:val="none" w:color="auto" w:sz="0" w:space="0"/>
          <w:left w:val="none" w:color="auto" w:sz="0" w:space="0"/>
          <w:bottom w:val="single" w:color="EEEEEE" w:sz="6" w:space="11"/>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666666"/>
          <w:spacing w:val="0"/>
          <w:sz w:val="25"/>
          <w:szCs w:val="25"/>
        </w:rPr>
      </w:pPr>
      <w:r>
        <w:rPr>
          <w:rFonts w:hint="eastAsia" w:ascii="微软雅黑" w:hAnsi="微软雅黑" w:eastAsia="微软雅黑" w:cs="微软雅黑"/>
          <w:i w:val="0"/>
          <w:iCs w:val="0"/>
          <w:caps w:val="0"/>
          <w:color w:val="666666"/>
          <w:spacing w:val="0"/>
          <w:kern w:val="0"/>
          <w:sz w:val="25"/>
          <w:szCs w:val="25"/>
          <w:bdr w:val="none" w:color="auto" w:sz="0" w:space="0"/>
          <w:lang w:val="en-US" w:eastAsia="zh-CN" w:bidi="ar"/>
        </w:rPr>
        <w:t>   来源：本站    发布时间：2025-08-27    点击：139</w:t>
      </w:r>
    </w:p>
    <w:p w14:paraId="53B932BC">
      <w:pPr>
        <w:pStyle w:val="2"/>
        <w:keepNext w:val="0"/>
        <w:keepLines w:val="0"/>
        <w:widowControl/>
        <w:suppressLineNumbers w:val="0"/>
        <w:spacing w:before="0" w:beforeAutospacing="0" w:after="0" w:afterAutospacing="0" w:line="540" w:lineRule="atLeast"/>
        <w:ind w:left="0" w:right="0" w:firstLine="0"/>
        <w:jc w:val="left"/>
        <w:rPr>
          <w:sz w:val="27"/>
          <w:szCs w:val="27"/>
          <w:u w:val="none"/>
        </w:rPr>
      </w:pPr>
      <w:r>
        <w:rPr>
          <w:rFonts w:hint="eastAsia" w:ascii="微软雅黑" w:hAnsi="微软雅黑" w:eastAsia="微软雅黑" w:cs="微软雅黑"/>
          <w:i w:val="0"/>
          <w:iCs w:val="0"/>
          <w:caps w:val="0"/>
          <w:color w:val="222222"/>
          <w:spacing w:val="0"/>
          <w:sz w:val="27"/>
          <w:szCs w:val="27"/>
          <w:u w:val="none"/>
        </w:rPr>
        <w:t>       四川艺术基金面向全省受理美术作品展览资助项目的申报，组织专家评审，确定资助项目和资助额度，并实施监管。根据《四川艺术基金章程》，结合《四川艺术基金项目资助管理办法》，制定本指南。</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一、资助要求</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本项目资助坚持以习近平新时代中国特色社会主义思想为指导，全面贯彻落实党的二十大和二十届二中、三中全会精神，深入学习贯彻习近平文化思想，围绕省委十二届七次全会精神和省委省政府中心工作，以及举旗帜、聚民心、育新人、兴文化、展形象的使命任务，以社会主义核心价值观为引领，发展社会主义先进文化，弘扬革命文化，传承中华优秀传统文化，坚持把社会效益放在首位，着眼促进满足人民文化需求和增强人民精神力量相统一，繁荣四川文艺创作，传承四川历史文脉，资助人民喜闻乐见，公众参与度高的美术作品展览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二、资助范围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是重点资助我省改革开放以来，特别是党的十八大以来，聚焦国家重大战略，弘扬伟大建党精神，弘扬以爱国主义为核心的民族精神和以改革创新为核心的时代精神，唱响昂扬时代主旋律创作生产的优秀美术作品的展览活动。二是资助以现实主义精神和浪漫主义情怀观照人民的生活、命运、情感，反映人民的喜怒哀乐和气象万千的生活景象，讴歌奋斗人生、刻画最美人物、描绘祖国秀美山河，具有显著时代意义和历史、文化、学术价值的美术作品展览活动。三是支持深入市、县基层，深入农村，深入革命老区、民族地区开展的优秀美术作品展览活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具体要求：本项目资助优秀美术作品展览。不资助艺术工作者个人作品的展览、纪念活动、节庆赛事等；不资助古代艺术品（文物）展览、非物质文化遗产原貌展示的项目。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三、资助额度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（一）美术作品展览项目资助额度：每个项目不超过60万元。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（二）艺术基金依据艺术门类、规模体量、成本投入等因素，并参考申报主体制定的项目预算，最终核定资助资金额度。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四、资助方式</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（一）本项目属于匹配资助，申报主体必须投入不低于1:1的配套资金。展览项目资助资金主要用于展出补助、策展费、布（撤）展费、运输费、差旅费、展品制作（装裱、洗印）费、学术研讨费和宣传费等。</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（二）深入实施国家文化数字化战略，支持线下展览与线上展播活动相融合，可安排不超过展览总场次20%的网络展播场次。</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（三）对具备实施条件的资助项目，四川艺术基金将先期拨付资助资金总额的70%作为项目实施经费；项目完成并验收合格后，拨付剩余30％的资助资金。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五、申报条件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（一）本项目的申报主体为单位或机构，其应同时具备以下条件：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1.2022年1月1日前在四川省登记、注册，依法独立享有民事权利、承担民事义务，能够独立承担民事责任的文化单位、机构或社会团体。</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2.申报主体应具有良好的实施能力，主营业务原则上应与申报项目相一致。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3.已经完成了申报项目的前期工作，能够提供详实、可行的工作方案，与展览承接方签署的协议和已落实配套资金证明。</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（二）申报美术作品展览项目，应于项目申报前完成创作和征集工作。</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（三）申报项目已获得国家艺术基金、四川艺术基金2022年度至2025年度美术作品展览项目资助的，不得申报本类型项目。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（四）已获得国家艺术基金、四川艺术基金立项资助的项目主体，未能在规定实施周期内提交结项验收或终止申请的，其项目主体不能再申报新的资助项目。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（五）已获得或已申报本年度省级财政资金的项目，不得申报本类型项目。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六、申报时间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本项目申报自2025年9月1日开始至10月15日截止。四川省艺术创作促进中心（四川省艺术基金中心）（以下简称“基金中心”）在申报期内受理项目申报，并提供相关咨询服务，逾期不予受理。</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项目申报咨询电话：028-86122575，咨询时间：工作日9:00至17:00。咨询QQ群：640714729。申报系统操作咨询电话：028-85353262、18782037835、18116595575。</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七、申报程序</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项目申报主体在规定的申报受理期内，可通过四川省艺术创作促进中心（四川省艺术基金中心）官网（https://www.yscz.org.cn/）进入四川艺术基金项目申报管理平台（https://wlzj.tsichuan.com/scysjj/），登录后，按要求填写《四川艺术基金2026年度美术作品展览资助项目申报表》，上传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（二）基金中心将组织有关部门和专家对申报项目进行审核，符合相关规定的予以受理，并纳入四川艺术基金申报项目库；不符合相关规定的，不予受理。</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（三）对项目申报主体提交的申报材料，基金中心按规定管理，并根据工作需要使用。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八、申报材料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（一）四川艺术基金2026年度美术作品展览资助项目申报表。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（二）同级行政主管部门颁发的登记、注册证书和统一社会信用代码证书。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（三）上一年度财务报表（资产负债表、利润表或收入支出决算表）和本年度1月份社会保险个人权益记录（单位缴费信息）。</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（四）已落实配套资金证明。申报项目已获得或正在申请其他财政性资金、基金支持以及第三方资助的，须提供相应的批准文件或申报材料。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（五）开展美术作品展览活动的工作方案，与承接展览的展馆签署的意向协议。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申报凡涉及党和国家领导人，涉及中国共产党历史、中华人民共和国历史、中国人民解放军历史上重大事件、重要人物和重大决策过程的题材或较多地涉及民族宗教内容的项目，须提供市级及以上宣传或文化和旅游部门的审读意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（七）美术作品展览项目须提交全部参展作品的图片。</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（八）申报项目须提交四川艺术基金资助项目社会效益和经济效益计划书。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九）申报材料应于2025年10月15日前通过网络提交，基金中心不接受纸质申报材料。作为附件上传的辅助材料为图片和音频、视频文件的，图片应采用扫描的方式形成，格式为PDF；音频文件格式为WAV或MP3；视频应完整清晰，可识别度高，格式为MOV、AVI、FLV或MP4，视频或音频压缩至1000M之内。请做好申报材料备份，申报材料一经接收概不退还。</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九、签约实施</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确定申报为立项资助项目后，纳入四川艺术基金立项项目库，基金中心将与项目申报主体签订《四川艺术基金资助项目协议书》。《四川艺术基金2026年度美术作品展览资助项目申报表》作为协议书附件，具有同等约束力。</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申报项目立项后，项目主体应将项目经费纳入单位财务统一管理，单独核算，专款专用。资助经费必须直接用于所申请的项目实施，专项管理、厉行节约，不得用于弥补日常经费支出、挤占或挪作其他用途。</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申报项目立项后，项目主体视为同意按照艺术基金安排，参加艺术基金组织的出版、展览和演播等宣传推广活动，并将全部项目成果的展览权、广播权和信息网络传播权等与成果运用相关的著作权以非专有使用许可的方式授予基金中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（四）各市（州）文旅行政主管部门对当地四川艺术基金项目承担监管责任。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十、监督验收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（一）资助项目应于2027年4月1日前提交完整的成果材料，参加结项验收，验收通过的项目纳入四川艺术基金结项项目库，实行跟踪管理。申请延期超过180天的项目主体不得申报下一年度资助项目。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基金中心负责对资助项目的实施情况和经费使用进行监督管理、审计评估，并组织专家进行结项验收。由多家单位或机构合作完成的项目，项目主体负责在实施过程中与各合作方的协调，并作为责任方接受审计和监督。</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（三）结项验收时，项目主体应按相关要求提交完整的成果材料。项目主体要保证申报项目在申报及后续实施过程中均不侵犯任何第三方的知识产权及其他合法权益。如有侵犯，项目主体依法承担全部责任。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项目主体有以下情形之一的，基金中心有权对该项目重新审核，并依据其严重程度分别或同时采取暂缓拨款、终止拨款、追回部分或全部资助资金、撤销对该项目的资助，暂停项目主体一年申报资格，并依法追究相关单位或机构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1.项目主体在项目实施过程中，侵犯任何第三方的知识产权及其他合法权益。</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2.项目实施内容、经费支出、结项成果等与《四川艺术基金资助项目协议书》的约定存在重大差异。</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3.项目主体存在其他弄虚作假、挪用资助资金、违反《四川艺术基金资助项目协议书》等情形。</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4.项目主体有其他严重违法违纪行为。</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十一、其他</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（一）项目主体应同意按照四川艺术基金安排，参加艺术基金组织的出版、展览等公益性活动。应在相关材料和宣传载体的显著位置标注该项目为“四川艺术基金资助项目”。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（二）资助项目结项验收时，项目主体应按要求提交完整的成果材料。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（三）四川艺术基金对项目主体在项目申报、实施过程中与第三方产生的纠纷不承担任何责任。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（四）基金中心对本指南拥有最终解释权。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（五）本指南自发布之日起实施。</w:t>
      </w:r>
    </w:p>
    <w:p w14:paraId="6C64A47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5827412F"/>
    <w:rsid w:val="58274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