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eastAsia="黑体"/>
          <w:color w:val="000000" w:themeColor="text1"/>
          <w:szCs w:val="32"/>
          <w14:textFill>
            <w14:solidFill>
              <w14:schemeClr w14:val="tx1"/>
            </w14:solidFill>
          </w14:textFill>
        </w:rPr>
      </w:pPr>
      <w:bookmarkStart w:id="0" w:name="_Toc15481946"/>
      <w:r>
        <w:rPr>
          <w:rFonts w:eastAsia="黑体"/>
          <w:color w:val="000000" w:themeColor="text1"/>
          <w:szCs w:val="32"/>
          <w14:textFill>
            <w14:solidFill>
              <w14:schemeClr w14:val="tx1"/>
            </w14:solidFill>
          </w14:textFill>
        </w:rPr>
        <w:t>附件</w:t>
      </w:r>
      <w:r>
        <w:rPr>
          <w:rFonts w:hint="eastAsia" w:eastAsia="黑体"/>
          <w:color w:val="000000" w:themeColor="text1"/>
          <w:szCs w:val="32"/>
          <w14:textFill>
            <w14:solidFill>
              <w14:schemeClr w14:val="tx1"/>
            </w14:solidFill>
          </w14:textFill>
        </w:rPr>
        <w:t>1</w:t>
      </w:r>
    </w:p>
    <w:bookmarkEnd w:id="0"/>
    <w:p>
      <w:pPr>
        <w:widowControl w:val="0"/>
        <w:spacing w:line="570" w:lineRule="exact"/>
        <w:jc w:val="center"/>
        <w:rPr>
          <w:color w:val="000000" w:themeColor="text1"/>
          <w:szCs w:val="32"/>
          <w14:textFill>
            <w14:solidFill>
              <w14:schemeClr w14:val="tx1"/>
            </w14:solidFill>
          </w14:textFill>
        </w:rPr>
      </w:pPr>
    </w:p>
    <w:p>
      <w:pPr>
        <w:widowControl w:val="0"/>
        <w:tabs>
          <w:tab w:val="left" w:pos="540"/>
        </w:tabs>
        <w:adjustRightInd w:val="0"/>
        <w:snapToGrid w:val="0"/>
        <w:spacing w:line="570" w:lineRule="exact"/>
        <w:jc w:val="center"/>
        <w:rPr>
          <w:rFonts w:eastAsia="方正小标宋_GBK"/>
          <w:color w:val="000000" w:themeColor="text1"/>
          <w:sz w:val="44"/>
          <w:szCs w:val="44"/>
          <w14:textFill>
            <w14:solidFill>
              <w14:schemeClr w14:val="tx1"/>
            </w14:solidFill>
          </w14:textFill>
        </w:rPr>
      </w:pPr>
      <w:r>
        <w:rPr>
          <w:rFonts w:eastAsia="方正小标宋_GBK"/>
          <w:color w:val="000000" w:themeColor="text1"/>
          <w:sz w:val="44"/>
          <w:szCs w:val="44"/>
          <w14:textFill>
            <w14:solidFill>
              <w14:schemeClr w14:val="tx1"/>
            </w14:solidFill>
          </w14:textFill>
        </w:rPr>
        <w:t>四川省“十四五”川猪重大科技专项</w:t>
      </w:r>
    </w:p>
    <w:p>
      <w:pPr>
        <w:widowControl w:val="0"/>
        <w:tabs>
          <w:tab w:val="left" w:pos="540"/>
        </w:tabs>
        <w:adjustRightInd w:val="0"/>
        <w:snapToGrid w:val="0"/>
        <w:spacing w:line="570" w:lineRule="exact"/>
        <w:jc w:val="center"/>
        <w:rPr>
          <w:rFonts w:eastAsia="方正小标宋_GBK"/>
          <w:color w:val="000000" w:themeColor="text1"/>
          <w:sz w:val="44"/>
          <w:szCs w:val="44"/>
          <w14:textFill>
            <w14:solidFill>
              <w14:schemeClr w14:val="tx1"/>
            </w14:solidFill>
          </w14:textFill>
        </w:rPr>
      </w:pPr>
      <w:r>
        <w:rPr>
          <w:rFonts w:hint="eastAsia" w:eastAsia="方正小标宋_GBK"/>
          <w:color w:val="000000" w:themeColor="text1"/>
          <w:sz w:val="44"/>
          <w:szCs w:val="44"/>
          <w14:textFill>
            <w14:solidFill>
              <w14:schemeClr w14:val="tx1"/>
            </w14:solidFill>
          </w14:textFill>
        </w:rPr>
        <w:t>项目</w:t>
      </w:r>
      <w:r>
        <w:rPr>
          <w:rFonts w:eastAsia="方正小标宋_GBK"/>
          <w:color w:val="000000" w:themeColor="text1"/>
          <w:sz w:val="44"/>
          <w:szCs w:val="44"/>
          <w14:textFill>
            <w14:solidFill>
              <w14:schemeClr w14:val="tx1"/>
            </w14:solidFill>
          </w14:textFill>
        </w:rPr>
        <w:t>申报指南</w:t>
      </w:r>
    </w:p>
    <w:p>
      <w:pPr>
        <w:widowControl w:val="0"/>
        <w:spacing w:line="570" w:lineRule="exact"/>
        <w:jc w:val="center"/>
        <w:rPr>
          <w:rFonts w:eastAsia="楷体_GB2312"/>
          <w:color w:val="000000" w:themeColor="text1"/>
          <w:szCs w:val="32"/>
          <w14:textFill>
            <w14:solidFill>
              <w14:schemeClr w14:val="tx1"/>
            </w14:solidFill>
          </w14:textFill>
        </w:rPr>
      </w:pPr>
      <w:r>
        <w:rPr>
          <w:rFonts w:eastAsia="楷体_GB2312"/>
          <w:color w:val="000000" w:themeColor="text1"/>
          <w:szCs w:val="32"/>
          <w14:textFill>
            <w14:solidFill>
              <w14:schemeClr w14:val="tx1"/>
            </w14:solidFill>
          </w14:textFill>
        </w:rPr>
        <w:t>在线填写“四川省重大科技专项项目（课题）可行性</w:t>
      </w:r>
    </w:p>
    <w:p>
      <w:pPr>
        <w:widowControl w:val="0"/>
        <w:spacing w:line="570" w:lineRule="exact"/>
        <w:jc w:val="center"/>
        <w:rPr>
          <w:rFonts w:eastAsia="楷体_GB2312"/>
          <w:color w:val="000000" w:themeColor="text1"/>
          <w:szCs w:val="32"/>
          <w14:textFill>
            <w14:solidFill>
              <w14:schemeClr w14:val="tx1"/>
            </w14:solidFill>
          </w14:textFill>
        </w:rPr>
      </w:pPr>
      <w:r>
        <w:rPr>
          <w:rFonts w:eastAsia="楷体_GB2312"/>
          <w:color w:val="000000" w:themeColor="text1"/>
          <w:szCs w:val="32"/>
          <w14:textFill>
            <w14:solidFill>
              <w14:schemeClr w14:val="tx1"/>
            </w14:solidFill>
          </w14:textFill>
        </w:rPr>
        <w:t>研究报告（申报书）”</w:t>
      </w:r>
    </w:p>
    <w:p>
      <w:pPr>
        <w:widowControl w:val="0"/>
        <w:spacing w:line="570" w:lineRule="exact"/>
        <w:jc w:val="center"/>
        <w:rPr>
          <w:color w:val="000000" w:themeColor="text1"/>
          <w:szCs w:val="32"/>
          <w14:textFill>
            <w14:solidFill>
              <w14:schemeClr w14:val="tx1"/>
            </w14:solidFill>
          </w14:textFill>
        </w:rPr>
      </w:pPr>
    </w:p>
    <w:p>
      <w:pPr>
        <w:widowControl w:val="0"/>
        <w:numPr>
          <w:ilvl w:val="0"/>
          <w:numId w:val="1"/>
        </w:numPr>
        <w:tabs>
          <w:tab w:val="left" w:pos="540"/>
        </w:tabs>
        <w:adjustRightInd w:val="0"/>
        <w:snapToGrid w:val="0"/>
        <w:spacing w:line="560" w:lineRule="exact"/>
        <w:jc w:val="both"/>
        <w:rPr>
          <w:rFonts w:eastAsia="黑体"/>
          <w:color w:val="000000" w:themeColor="text1"/>
          <w:szCs w:val="32"/>
          <w14:textFill>
            <w14:solidFill>
              <w14:schemeClr w14:val="tx1"/>
            </w14:solidFill>
          </w14:textFill>
        </w:rPr>
      </w:pPr>
      <w:r>
        <w:rPr>
          <w:rFonts w:eastAsia="黑体"/>
          <w:color w:val="000000" w:themeColor="text1"/>
          <w:szCs w:val="32"/>
          <w14:textFill>
            <w14:solidFill>
              <w14:schemeClr w14:val="tx1"/>
            </w14:solidFill>
          </w14:textFill>
        </w:rPr>
        <w:t>绩效目标</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育成优质高效新品种</w:t>
      </w:r>
      <w:r>
        <w:rPr>
          <w:color w:val="000000" w:themeColor="text1"/>
          <w:szCs w:val="32"/>
          <w14:textFill>
            <w14:solidFill>
              <w14:schemeClr w14:val="tx1"/>
            </w14:solidFill>
          </w14:textFill>
        </w:rPr>
        <w:t>（</w:t>
      </w:r>
      <w:r>
        <w:rPr>
          <w:rFonts w:hint="eastAsia"/>
          <w:color w:val="000000" w:themeColor="text1"/>
          <w:szCs w:val="32"/>
          <w14:textFill>
            <w14:solidFill>
              <w14:schemeClr w14:val="tx1"/>
            </w14:solidFill>
          </w14:textFill>
        </w:rPr>
        <w:t>配套系</w:t>
      </w:r>
      <w:r>
        <w:rPr>
          <w:color w:val="000000" w:themeColor="text1"/>
          <w:szCs w:val="32"/>
          <w14:textFill>
            <w14:solidFill>
              <w14:schemeClr w14:val="tx1"/>
            </w14:solidFill>
          </w14:textFill>
        </w:rPr>
        <w:t>）</w:t>
      </w:r>
      <w:r>
        <w:rPr>
          <w:rFonts w:hint="eastAsia"/>
          <w:color w:val="000000" w:themeColor="text1"/>
          <w:szCs w:val="32"/>
          <w14:textFill>
            <w14:solidFill>
              <w14:schemeClr w14:val="tx1"/>
            </w14:solidFill>
          </w14:textFill>
        </w:rPr>
        <w:t>1个，创制育种新材料2个</w:t>
      </w:r>
      <w:r>
        <w:rPr>
          <w:rFonts w:hint="eastAsia" w:ascii="仿宋_GB2312"/>
          <w:color w:val="000000" w:themeColor="text1"/>
          <w:szCs w:val="32"/>
          <w14:textFill>
            <w14:solidFill>
              <w14:schemeClr w14:val="tx1"/>
            </w14:solidFill>
          </w14:textFill>
        </w:rPr>
        <w:t>；</w:t>
      </w:r>
      <w:r>
        <w:rPr>
          <w:color w:val="000000" w:themeColor="text1"/>
          <w:szCs w:val="32"/>
          <w14:textFill>
            <w14:solidFill>
              <w14:schemeClr w14:val="tx1"/>
            </w14:solidFill>
          </w14:textFill>
        </w:rPr>
        <w:t>突破关键核心技术10项，</w:t>
      </w:r>
      <w:r>
        <w:rPr>
          <w:rFonts w:hint="eastAsia"/>
          <w:color w:val="000000" w:themeColor="text1"/>
          <w:szCs w:val="32"/>
          <w14:textFill>
            <w14:solidFill>
              <w14:schemeClr w14:val="tx1"/>
            </w14:solidFill>
          </w14:textFill>
        </w:rPr>
        <w:t>开发</w:t>
      </w:r>
      <w:r>
        <w:rPr>
          <w:color w:val="000000" w:themeColor="text1"/>
          <w:szCs w:val="32"/>
          <w14:textFill>
            <w14:solidFill>
              <w14:schemeClr w14:val="tx1"/>
            </w14:solidFill>
          </w14:textFill>
        </w:rPr>
        <w:t>创新产品20个</w:t>
      </w:r>
      <w:r>
        <w:rPr>
          <w:rFonts w:hint="eastAsia" w:ascii="仿宋_GB2312"/>
          <w:color w:val="000000" w:themeColor="text1"/>
          <w:szCs w:val="32"/>
          <w14:textFill>
            <w14:solidFill>
              <w14:schemeClr w14:val="tx1"/>
            </w14:solidFill>
          </w14:textFill>
        </w:rPr>
        <w:t>；</w:t>
      </w:r>
      <w:r>
        <w:rPr>
          <w:color w:val="000000" w:themeColor="text1"/>
          <w14:textFill>
            <w14:solidFill>
              <w14:schemeClr w14:val="tx1"/>
            </w14:solidFill>
          </w14:textFill>
        </w:rPr>
        <w:t>建成示范基地1</w:t>
      </w:r>
      <w:r>
        <w:rPr>
          <w:rFonts w:hint="eastAsia"/>
          <w:color w:val="000000" w:themeColor="text1"/>
          <w14:textFill>
            <w14:solidFill>
              <w14:schemeClr w14:val="tx1"/>
            </w14:solidFill>
          </w14:textFill>
        </w:rPr>
        <w:t>5</w:t>
      </w:r>
      <w:r>
        <w:rPr>
          <w:color w:val="000000" w:themeColor="text1"/>
          <w14:textFill>
            <w14:solidFill>
              <w14:schemeClr w14:val="tx1"/>
            </w14:solidFill>
          </w14:textFill>
        </w:rPr>
        <w:t>个，培育</w:t>
      </w:r>
      <w:r>
        <w:rPr>
          <w:rFonts w:hint="eastAsia"/>
          <w:color w:val="000000" w:themeColor="text1"/>
          <w14:textFill>
            <w14:solidFill>
              <w14:schemeClr w14:val="tx1"/>
            </w14:solidFill>
          </w14:textFill>
        </w:rPr>
        <w:t>年产值超亿元的种业</w:t>
      </w:r>
      <w:r>
        <w:rPr>
          <w:color w:val="000000" w:themeColor="text1"/>
          <w14:textFill>
            <w14:solidFill>
              <w14:schemeClr w14:val="tx1"/>
            </w14:solidFill>
          </w14:textFill>
        </w:rPr>
        <w:t>企业</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家</w:t>
      </w:r>
      <w:r>
        <w:rPr>
          <w:rFonts w:hint="eastAsia"/>
          <w:color w:val="000000" w:themeColor="text1"/>
          <w14:textFill>
            <w14:solidFill>
              <w14:schemeClr w14:val="tx1"/>
            </w14:solidFill>
          </w14:textFill>
        </w:rPr>
        <w:t>以上</w:t>
      </w:r>
      <w:r>
        <w:rPr>
          <w:color w:val="000000" w:themeColor="text1"/>
          <w14:textFill>
            <w14:solidFill>
              <w14:schemeClr w14:val="tx1"/>
            </w14:solidFill>
          </w14:textFill>
        </w:rPr>
        <w:t>，</w:t>
      </w:r>
      <w:r>
        <w:rPr>
          <w:color w:val="000000" w:themeColor="text1"/>
          <w:szCs w:val="32"/>
          <w14:textFill>
            <w14:solidFill>
              <w14:schemeClr w14:val="tx1"/>
            </w14:solidFill>
          </w14:textFill>
        </w:rPr>
        <w:t>带动新增产值</w:t>
      </w:r>
      <w:r>
        <w:rPr>
          <w:rFonts w:hint="eastAsia"/>
          <w:color w:val="000000" w:themeColor="text1"/>
          <w:szCs w:val="32"/>
          <w14:textFill>
            <w14:solidFill>
              <w14:schemeClr w14:val="tx1"/>
            </w14:solidFill>
          </w14:textFill>
        </w:rPr>
        <w:t>15</w:t>
      </w:r>
      <w:r>
        <w:rPr>
          <w:color w:val="000000" w:themeColor="text1"/>
          <w:szCs w:val="32"/>
          <w14:textFill>
            <w14:solidFill>
              <w14:schemeClr w14:val="tx1"/>
            </w14:solidFill>
          </w14:textFill>
        </w:rPr>
        <w:t>亿</w:t>
      </w:r>
      <w:r>
        <w:rPr>
          <w:rFonts w:hint="eastAsia"/>
          <w:color w:val="000000" w:themeColor="text1"/>
          <w:szCs w:val="32"/>
          <w14:textFill>
            <w14:solidFill>
              <w14:schemeClr w14:val="tx1"/>
            </w14:solidFill>
          </w14:textFill>
        </w:rPr>
        <w:t>元</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rFonts w:eastAsia="黑体"/>
          <w:color w:val="000000" w:themeColor="text1"/>
          <w:szCs w:val="32"/>
          <w14:textFill>
            <w14:solidFill>
              <w14:schemeClr w14:val="tx1"/>
            </w14:solidFill>
          </w14:textFill>
        </w:rPr>
      </w:pPr>
      <w:r>
        <w:rPr>
          <w:rFonts w:eastAsia="黑体"/>
          <w:color w:val="000000" w:themeColor="text1"/>
          <w:szCs w:val="32"/>
          <w14:textFill>
            <w14:solidFill>
              <w14:schemeClr w14:val="tx1"/>
            </w14:solidFill>
          </w14:textFill>
        </w:rPr>
        <w:t>二、实施周期</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2021年7月</w:t>
      </w:r>
      <w:r>
        <w:rPr>
          <w:rFonts w:hint="eastAsia" w:ascii="仿宋_GB2312" w:hAnsi="仿宋_GB2312" w:cs="仿宋_GB2312"/>
          <w:color w:val="000000" w:themeColor="text1"/>
          <w:szCs w:val="32"/>
          <w14:textFill>
            <w14:solidFill>
              <w14:schemeClr w14:val="tx1"/>
            </w14:solidFill>
          </w14:textFill>
        </w:rPr>
        <w:t>—</w:t>
      </w:r>
      <w:r>
        <w:rPr>
          <w:color w:val="000000" w:themeColor="text1"/>
          <w:szCs w:val="32"/>
          <w14:textFill>
            <w14:solidFill>
              <w14:schemeClr w14:val="tx1"/>
            </w14:solidFill>
          </w14:textFill>
        </w:rPr>
        <w:t>2026年6月</w:t>
      </w:r>
      <w:r>
        <w:rPr>
          <w:rFonts w:hint="eastAsia"/>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rFonts w:eastAsia="黑体"/>
          <w:color w:val="000000" w:themeColor="text1"/>
          <w:szCs w:val="32"/>
          <w14:textFill>
            <w14:solidFill>
              <w14:schemeClr w14:val="tx1"/>
            </w14:solidFill>
          </w14:textFill>
        </w:rPr>
      </w:pPr>
      <w:r>
        <w:rPr>
          <w:rFonts w:eastAsia="黑体"/>
          <w:color w:val="000000" w:themeColor="text1"/>
          <w:szCs w:val="32"/>
          <w14:textFill>
            <w14:solidFill>
              <w14:schemeClr w14:val="tx1"/>
            </w14:solidFill>
          </w14:textFill>
        </w:rPr>
        <w:t>三、资金支持方式</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财政资金采取前补助支持方式，</w:t>
      </w:r>
      <w:r>
        <w:rPr>
          <w:rFonts w:hint="eastAsia"/>
          <w:color w:val="000000" w:themeColor="text1"/>
          <w:szCs w:val="32"/>
          <w14:textFill>
            <w14:solidFill>
              <w14:schemeClr w14:val="tx1"/>
            </w14:solidFill>
          </w14:textFill>
        </w:rPr>
        <w:t>分批拨付，即：</w:t>
      </w:r>
      <w:r>
        <w:rPr>
          <w:rFonts w:hint="eastAsia" w:ascii="仿宋_GB2312"/>
          <w:color w:val="000000" w:themeColor="text1"/>
          <w:szCs w:val="32"/>
          <w14:textFill>
            <w14:solidFill>
              <w14:schemeClr w14:val="tx1"/>
            </w14:solidFill>
          </w14:textFill>
        </w:rPr>
        <w:t>立项时拨付6</w:t>
      </w:r>
      <w:r>
        <w:rPr>
          <w:rFonts w:ascii="仿宋_GB2312"/>
          <w:color w:val="000000" w:themeColor="text1"/>
          <w:szCs w:val="32"/>
          <w14:textFill>
            <w14:solidFill>
              <w14:schemeClr w14:val="tx1"/>
            </w14:solidFill>
          </w14:textFill>
        </w:rPr>
        <w:t>0</w:t>
      </w:r>
      <w:r>
        <w:rPr>
          <w:rFonts w:hint="eastAsia" w:ascii="仿宋_GB2312"/>
          <w:color w:val="000000" w:themeColor="text1"/>
          <w:szCs w:val="32"/>
          <w14:textFill>
            <w14:solidFill>
              <w14:schemeClr w14:val="tx1"/>
            </w14:solidFill>
          </w14:textFill>
        </w:rPr>
        <w:t>%，通过中期评估后拨付4</w:t>
      </w:r>
      <w:r>
        <w:rPr>
          <w:rFonts w:ascii="仿宋_GB2312"/>
          <w:color w:val="000000" w:themeColor="text1"/>
          <w:szCs w:val="32"/>
          <w14:textFill>
            <w14:solidFill>
              <w14:schemeClr w14:val="tx1"/>
            </w14:solidFill>
          </w14:textFill>
        </w:rPr>
        <w:t>0</w:t>
      </w:r>
      <w:r>
        <w:rPr>
          <w:rFonts w:hint="eastAsia" w:ascii="仿宋_GB2312"/>
          <w:color w:val="000000" w:themeColor="text1"/>
          <w:szCs w:val="32"/>
          <w14:textFill>
            <w14:solidFill>
              <w14:schemeClr w14:val="tx1"/>
            </w14:solidFill>
          </w14:textFill>
        </w:rPr>
        <w:t>%</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rFonts w:eastAsia="黑体"/>
          <w:color w:val="000000" w:themeColor="text1"/>
          <w:szCs w:val="32"/>
          <w14:textFill>
            <w14:solidFill>
              <w14:schemeClr w14:val="tx1"/>
            </w14:solidFill>
          </w14:textFill>
        </w:rPr>
      </w:pPr>
      <w:r>
        <w:rPr>
          <w:rFonts w:eastAsia="黑体"/>
          <w:color w:val="000000" w:themeColor="text1"/>
          <w:szCs w:val="32"/>
          <w14:textFill>
            <w14:solidFill>
              <w14:schemeClr w14:val="tx1"/>
            </w14:solidFill>
          </w14:textFill>
        </w:rPr>
        <w:t>四、支持重点</w:t>
      </w:r>
    </w:p>
    <w:p>
      <w:pPr>
        <w:widowControl w:val="0"/>
        <w:tabs>
          <w:tab w:val="left" w:pos="540"/>
        </w:tabs>
        <w:adjustRightInd w:val="0"/>
        <w:snapToGrid w:val="0"/>
        <w:spacing w:line="560" w:lineRule="exact"/>
        <w:ind w:firstLine="640" w:firstLineChars="200"/>
        <w:jc w:val="both"/>
        <w:rPr>
          <w:rFonts w:ascii="楷体_GB2312" w:eastAsia="楷体_GB2312"/>
          <w:color w:val="000000" w:themeColor="text1"/>
          <w:szCs w:val="32"/>
          <w14:textFill>
            <w14:solidFill>
              <w14:schemeClr w14:val="tx1"/>
            </w14:solidFill>
          </w14:textFill>
        </w:rPr>
      </w:pPr>
      <w:r>
        <w:rPr>
          <w:rFonts w:hint="eastAsia" w:ascii="楷体_GB2312" w:eastAsia="楷体_GB2312"/>
          <w:color w:val="000000" w:themeColor="text1"/>
          <w:szCs w:val="32"/>
          <w14:textFill>
            <w14:solidFill>
              <w14:schemeClr w14:val="tx1"/>
            </w14:solidFill>
          </w14:textFill>
        </w:rPr>
        <w:t>项目1.川猪育种新材料创制与新品种培育。</w:t>
      </w:r>
    </w:p>
    <w:p>
      <w:pPr>
        <w:widowControl w:val="0"/>
        <w:tabs>
          <w:tab w:val="left" w:pos="540"/>
        </w:tabs>
        <w:adjustRightInd w:val="0"/>
        <w:snapToGrid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1.1</w:t>
      </w:r>
      <w:r>
        <w:rPr>
          <w:rFonts w:hint="eastAsia"/>
          <w:color w:val="000000" w:themeColor="text1"/>
          <w14:textFill>
            <w14:solidFill>
              <w14:schemeClr w14:val="tx1"/>
            </w14:solidFill>
          </w14:textFill>
        </w:rPr>
        <w:t>研究内容。本项目下设五个课题</w:t>
      </w:r>
      <w:r>
        <w:rPr>
          <w:color w:val="000000" w:themeColor="text1"/>
          <w14:textFill>
            <w14:solidFill>
              <w14:schemeClr w14:val="tx1"/>
            </w14:solidFill>
          </w14:textFill>
        </w:rPr>
        <w:t>。</w:t>
      </w:r>
      <w:bookmarkStart w:id="6" w:name="_GoBack"/>
      <w:bookmarkEnd w:id="6"/>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课题1：</w:t>
      </w:r>
      <w:r>
        <w:rPr>
          <w:color w:val="000000" w:themeColor="text1"/>
          <w:szCs w:val="32"/>
          <w14:textFill>
            <w14:solidFill>
              <w14:schemeClr w14:val="tx1"/>
            </w14:solidFill>
          </w14:textFill>
        </w:rPr>
        <w:t>川猪优势特色基因发掘。</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充分利用我省丰富的猪品种资源，采用基因组、转录组、蛋白组、代谢组等多组学联合分析技术，开展生长、肉质、抗逆、繁殖等重要性状的关键基因挖掘和遗传机制解析，筛选一批候选基因和关键变异。</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课题2：</w:t>
      </w:r>
      <w:r>
        <w:rPr>
          <w:color w:val="000000" w:themeColor="text1"/>
          <w:szCs w:val="32"/>
          <w14:textFill>
            <w14:solidFill>
              <w14:schemeClr w14:val="tx1"/>
            </w14:solidFill>
          </w14:textFill>
        </w:rPr>
        <w:t>地方猪选育与优质川猪育种新材料创制。</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立足我省丰富的地方猪品种资源，采用现代育种技术，开展内江猪、成华猪、雅南猪、青峪猪、藏猪等育种新材料创制；实施川藏黑猪配套系的持续选育与产业化开发，满足市场的多元化需求，提高含地方猪血缘优质肉猪市场占有率。</w:t>
      </w:r>
    </w:p>
    <w:p>
      <w:pPr>
        <w:widowControl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课题3：</w:t>
      </w:r>
      <w:r>
        <w:rPr>
          <w:color w:val="000000" w:themeColor="text1"/>
          <w:szCs w:val="32"/>
          <w14:textFill>
            <w14:solidFill>
              <w14:schemeClr w14:val="tx1"/>
            </w14:solidFill>
          </w14:textFill>
        </w:rPr>
        <w:t>外种猪选育与川猪新品种（配套系）培育。</w:t>
      </w:r>
    </w:p>
    <w:p>
      <w:pPr>
        <w:widowControl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以我省现有外种猪品种资源为基础，利用全基因组选择等现代育种技术开展持续世代选育，提高重要经济性状性能水平；通过精准杂种优势预测和大规模配合力研究，培育具有自主知识产权的优质高效川猪新品种（配套系），开展大规模示范应用，提高核心种猪自给率。</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课题4：良种高效繁育技术创新。</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开展安全高效人工授精和精液冷冻技术体系研究、高效抗菌和抗病毒精液稀释液和保护液开发、精液稀释及冷冻制作保存与解冻程序优化、母猪妊娠期代谢组及影响繁殖效率的关键生物标志物筛选等研究，提高人工授精和冷冻精液制作与解冻的效率。以我省选育的外种猪、地方猪新品系为基础，开展不同品种、品系间杂交组合试验，研究筛选出杂种优势更好、综合生产效率更高的高效优质杂交组合。</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课题5：</w:t>
      </w:r>
      <w:r>
        <w:rPr>
          <w:color w:val="000000" w:themeColor="text1"/>
          <w:szCs w:val="32"/>
          <w14:textFill>
            <w14:solidFill>
              <w14:schemeClr w14:val="tx1"/>
            </w14:solidFill>
          </w14:textFill>
        </w:rPr>
        <w:t>高瘦肉率基因修饰猪创制。</w:t>
      </w:r>
    </w:p>
    <w:p>
      <w:pPr>
        <w:widowControl w:val="0"/>
        <w:tabs>
          <w:tab w:val="left" w:pos="540"/>
        </w:tabs>
        <w:adjustRightInd w:val="0"/>
        <w:snapToGrid w:val="0"/>
        <w:spacing w:line="560" w:lineRule="exact"/>
        <w:ind w:firstLine="640" w:firstLineChars="200"/>
        <w:jc w:val="both"/>
        <w:rPr>
          <w:rFonts w:eastAsia="宋体"/>
          <w:color w:val="000000" w:themeColor="text1"/>
          <w:szCs w:val="32"/>
          <w14:textFill>
            <w14:solidFill>
              <w14:schemeClr w14:val="tx1"/>
            </w14:solidFill>
          </w14:textFill>
        </w:rPr>
      </w:pPr>
      <w:r>
        <w:rPr>
          <w:color w:val="000000" w:themeColor="text1"/>
          <w14:textFill>
            <w14:solidFill>
              <w14:schemeClr w14:val="tx1"/>
            </w14:solidFill>
          </w14:textFill>
        </w:rPr>
        <w:t>对候选基因进行育种价值评估，筛选基因编辑重要靶点；利用基因编辑技术对猪瘦肉率等重要经济性状进行改良，创制基因修饰猪群体，为抢占分子育种科技高地、应对未来需求奠定基础。</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1.2考核指标。</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筛选影响重要经济性状候选基因100个以上，评估20个候选基因的分子机制及育种价值；育成通过审定的川猪新品种（配套系）1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2个；外种猪核心群种猪质量达国际同期先进水平，1</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0 kg体重日龄1</w:t>
      </w:r>
      <w:r>
        <w:rPr>
          <w:rFonts w:hint="eastAsia"/>
          <w:color w:val="000000" w:themeColor="text1"/>
          <w14:textFill>
            <w14:solidFill>
              <w14:schemeClr w14:val="tx1"/>
            </w14:solidFill>
          </w14:textFill>
        </w:rPr>
        <w:t>6</w:t>
      </w:r>
      <w:r>
        <w:rPr>
          <w:color w:val="000000" w:themeColor="text1"/>
          <w14:textFill>
            <w14:solidFill>
              <w14:schemeClr w14:val="tx1"/>
            </w14:solidFill>
          </w14:textFill>
        </w:rPr>
        <w:t>5天，PSY 30头，核心种猪自给率达85%以上；创制优质猪育种新材料2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3个，肌内脂肪含量达3%，含地方猪血缘优质肉猪市场占有率达15%以上；建立示范生产基地10个，示范生产商品猪1000万头；</w:t>
      </w:r>
      <w:r>
        <w:rPr>
          <w:rFonts w:hint="eastAsia"/>
          <w:color w:val="000000" w:themeColor="text1"/>
          <w14:textFill>
            <w14:solidFill>
              <w14:schemeClr w14:val="tx1"/>
            </w14:solidFill>
          </w14:textFill>
        </w:rPr>
        <w:t>建立高效人工授精技术体系，配怀率达90%以上；冷冻精液解冻活率达0.5级以上；筛选影响繁殖性能的生物标志物5个；筛选外种猪高效杂交组合</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个，筛选地方猪优质杂交组合</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个；</w:t>
      </w:r>
      <w:r>
        <w:rPr>
          <w:color w:val="000000" w:themeColor="text1"/>
          <w14:textFill>
            <w14:solidFill>
              <w14:schemeClr w14:val="tx1"/>
            </w14:solidFill>
          </w14:textFill>
        </w:rPr>
        <w:t>确定基因编辑重要靶点5个，创制高瘦肉率基因编辑猪群1个，瘦肉率提高3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5个百分点。</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w:t>
      </w:r>
      <w:r>
        <w:rPr>
          <w:color w:val="000000" w:themeColor="text1"/>
          <w:szCs w:val="32"/>
          <w14:textFill>
            <w14:solidFill>
              <w14:schemeClr w14:val="tx1"/>
            </w14:solidFill>
          </w14:textFill>
        </w:rPr>
        <w:t>3有关说明：拟支持1项，支持经费不超过</w:t>
      </w:r>
      <w:r>
        <w:rPr>
          <w:rFonts w:hint="eastAsia"/>
          <w:color w:val="000000" w:themeColor="text1"/>
          <w:szCs w:val="32"/>
          <w14:textFill>
            <w14:solidFill>
              <w14:schemeClr w14:val="tx1"/>
            </w14:solidFill>
          </w14:textFill>
        </w:rPr>
        <w:t>30</w:t>
      </w:r>
      <w:r>
        <w:rPr>
          <w:color w:val="000000" w:themeColor="text1"/>
          <w:szCs w:val="32"/>
          <w14:textFill>
            <w14:solidFill>
              <w14:schemeClr w14:val="tx1"/>
            </w14:solidFill>
          </w14:textFill>
        </w:rPr>
        <w:t>00万元。</w:t>
      </w:r>
    </w:p>
    <w:p>
      <w:pPr>
        <w:widowControl w:val="0"/>
        <w:tabs>
          <w:tab w:val="left" w:pos="540"/>
        </w:tabs>
        <w:adjustRightInd w:val="0"/>
        <w:snapToGrid w:val="0"/>
        <w:spacing w:line="560" w:lineRule="exact"/>
        <w:ind w:firstLine="640" w:firstLineChars="200"/>
        <w:jc w:val="both"/>
        <w:rPr>
          <w:rFonts w:ascii="楷体_GB2312" w:eastAsia="楷体_GB2312"/>
          <w:color w:val="000000" w:themeColor="text1"/>
          <w:szCs w:val="32"/>
          <w14:textFill>
            <w14:solidFill>
              <w14:schemeClr w14:val="tx1"/>
            </w14:solidFill>
          </w14:textFill>
        </w:rPr>
      </w:pPr>
      <w:r>
        <w:rPr>
          <w:rFonts w:ascii="楷体_GB2312" w:eastAsia="楷体_GB2312"/>
          <w:color w:val="000000" w:themeColor="text1"/>
          <w:szCs w:val="32"/>
          <w14:textFill>
            <w14:solidFill>
              <w14:schemeClr w14:val="tx1"/>
            </w14:solidFill>
          </w14:textFill>
        </w:rPr>
        <w:t>项目2.川猪精准营养与非粮型营养源创制。</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2.1</w:t>
      </w:r>
      <w:r>
        <w:rPr>
          <w:rFonts w:hint="eastAsia"/>
          <w:color w:val="000000" w:themeColor="text1"/>
          <w:szCs w:val="32"/>
          <w14:textFill>
            <w14:solidFill>
              <w14:schemeClr w14:val="tx1"/>
            </w14:solidFill>
          </w14:textFill>
        </w:rPr>
        <w:t>研究内容。本项目下设五个课题</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课题1：</w:t>
      </w:r>
      <w:r>
        <w:rPr>
          <w:color w:val="000000" w:themeColor="text1"/>
          <w:szCs w:val="32"/>
          <w14:textFill>
            <w14:solidFill>
              <w14:schemeClr w14:val="tx1"/>
            </w14:solidFill>
          </w14:textFill>
        </w:rPr>
        <w:t>非粮型营养源的创制。</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以适应猪的生物学特征为目标，研究运用生物技术改造菜籽粕、糠麸、糟渣等天然非粮饲料的化学结构，表征生物改造前后原料分子结构特征差异；比较研究改造前后原料在动物消化道的动态降解及营养价值变化规律，构建新型原料的营养价值数据库；研究形成标准化改造工艺；创制非粮型原料改性优质蛋白或能量营养源产品。</w:t>
      </w:r>
    </w:p>
    <w:p>
      <w:pPr>
        <w:widowControl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课题2：</w:t>
      </w:r>
      <w:r>
        <w:rPr>
          <w:color w:val="000000" w:themeColor="text1"/>
          <w:szCs w:val="32"/>
          <w14:textFill>
            <w14:solidFill>
              <w14:schemeClr w14:val="tx1"/>
            </w14:solidFill>
          </w14:textFill>
        </w:rPr>
        <w:t>安全无抗添加剂的创制。</w:t>
      </w:r>
    </w:p>
    <w:p>
      <w:pPr>
        <w:widowControl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系统评估植物精油、益生素、酸化剂等抗生素替代品的作用效果与机理，筛选适宜替抗组合，建立常用替抗饲料添加剂配伍与应用技术；利用微生物发酵、基因工程等生物技术手段，创制包括抗菌肽、免疫调节剂等系列新型替抗饲料添加剂（预混料）产品，建立产品配套应用技术。</w:t>
      </w:r>
    </w:p>
    <w:p>
      <w:pPr>
        <w:widowControl w:val="0"/>
        <w:spacing w:line="560"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课题3：</w:t>
      </w:r>
      <w:r>
        <w:rPr>
          <w:color w:val="000000" w:themeColor="text1"/>
          <w:szCs w:val="32"/>
          <w14:textFill>
            <w14:solidFill>
              <w14:schemeClr w14:val="tx1"/>
            </w14:solidFill>
          </w14:textFill>
        </w:rPr>
        <w:t>种猪高效繁殖营养饲料技术体系</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w:t>
      </w:r>
    </w:p>
    <w:p>
      <w:pPr>
        <w:widowControl w:val="0"/>
        <w:spacing w:line="560" w:lineRule="exact"/>
        <w:ind w:firstLine="640" w:firstLineChars="200"/>
        <w:rPr>
          <w:color w:val="000000" w:themeColor="text1"/>
          <w:szCs w:val="32"/>
          <w14:textFill>
            <w14:solidFill>
              <w14:schemeClr w14:val="tx1"/>
            </w14:solidFill>
          </w14:textFill>
        </w:rPr>
      </w:pPr>
      <w:r>
        <w:rPr>
          <w:color w:val="000000" w:themeColor="text1"/>
          <w14:textFill>
            <w14:solidFill>
              <w14:schemeClr w14:val="tx1"/>
            </w14:solidFill>
          </w14:textFill>
        </w:rPr>
        <w:t>针对母猪繁殖效率较低、遗传潜力未能充分发挥的现状，以后备猪和能繁母猪不同生理阶段的饲养目标为基础，研究构建其精准的营养需要参数；探究蛋白质源、能量源等不同营养源对母猪繁殖性能的影响，优化构建母猪不同生理阶段的饲料供给模型和典型配方；以母猪全繁殖周期繁殖性能为基础，研究</w:t>
      </w:r>
      <w:r>
        <w:rPr>
          <w:rFonts w:hint="eastAsia"/>
          <w:color w:val="000000" w:themeColor="text1"/>
          <w14:textFill>
            <w14:solidFill>
              <w14:schemeClr w14:val="tx1"/>
            </w14:solidFill>
          </w14:textFill>
        </w:rPr>
        <w:t>全局</w:t>
      </w:r>
      <w:r>
        <w:rPr>
          <w:color w:val="000000" w:themeColor="text1"/>
          <w14:textFill>
            <w14:solidFill>
              <w14:schemeClr w14:val="tx1"/>
            </w14:solidFill>
          </w14:textFill>
        </w:rPr>
        <w:t>饲料产品。解析影响种公猪繁殖性能的主要因素，构建适宜我省条件下的种公猪营养饲料方案。</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课题4：</w:t>
      </w:r>
      <w:r>
        <w:rPr>
          <w:color w:val="000000" w:themeColor="text1"/>
          <w:szCs w:val="32"/>
          <w14:textFill>
            <w14:solidFill>
              <w14:schemeClr w14:val="tx1"/>
            </w14:solidFill>
          </w14:textFill>
        </w:rPr>
        <w:t>仔猪健康营养饲料技术体系</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针对饲料无抗和仔猪特殊生理阶段背景，研究仔猪断奶腹泻营养生理和抗腹泻营养措施；探究营养与免疫的关系，构建缓解特异性病原微生物（大肠杆菌、轮状病毒等）免疫损伤的营养方案；解析肠道微生物与肠道健康的关系，创制微生物营养调控方案与产品；构建保障仔猪健康、降低发病率和死亡率的最适营养需要参数和饲料营养结构平衡模式，创制仔猪保健营养饲料新产品。</w:t>
      </w:r>
    </w:p>
    <w:p>
      <w:pPr>
        <w:widowControl w:val="0"/>
        <w:spacing w:line="560"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课题5：</w:t>
      </w:r>
      <w:r>
        <w:rPr>
          <w:color w:val="000000" w:themeColor="text1"/>
          <w:szCs w:val="32"/>
          <w14:textFill>
            <w14:solidFill>
              <w14:schemeClr w14:val="tx1"/>
            </w14:solidFill>
          </w14:textFill>
        </w:rPr>
        <w:t>生长育肥猪高效优质生产营养饲料技术体系</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w:t>
      </w:r>
    </w:p>
    <w:p>
      <w:pPr>
        <w:widowControl w:val="0"/>
        <w:spacing w:line="560" w:lineRule="exact"/>
        <w:ind w:firstLine="640" w:firstLineChars="200"/>
        <w:rPr>
          <w:color w:val="000000" w:themeColor="text1"/>
          <w:szCs w:val="32"/>
          <w14:textFill>
            <w14:solidFill>
              <w14:schemeClr w14:val="tx1"/>
            </w14:solidFill>
          </w14:textFill>
        </w:rPr>
      </w:pPr>
      <w:r>
        <w:rPr>
          <w:color w:val="000000" w:themeColor="text1"/>
          <w14:textFill>
            <w14:solidFill>
              <w14:schemeClr w14:val="tx1"/>
            </w14:solidFill>
          </w14:textFill>
        </w:rPr>
        <w:t>针对生长育肥猪生产效率低、造肉成本高、肉质不稳定等产业问题，研究建立生长育肥猪精准营养需求参数；评价非粮型饲料原料营养价值，构建数据库；研究饲料营养对猪肉安全与品质的影响，构建保障猪肉安全品质和食用品质的调控技术；优化构建不同品种（品系）、不同生长阶段生长育肥猪营养结构平衡模式和典型饲料配方与产品。</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2.2考核指标。</w:t>
      </w:r>
    </w:p>
    <w:p>
      <w:pPr>
        <w:widowControl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创制非粮型生物饲料原料产品2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3个，安全无抗饲料添加剂（预混料）产品2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3个；建立饲料原料营养价值和生猪营养需要新参数80个；研制节粮型全价饲料配方和产品3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个，玉米、小麦、大豆的配方用量降低30%以上；示范推广生物饲料原料及生物全价料150万吨/年，市场占有率达我省猪饲料年产量30%；保障我省每年减少玉米大豆调入量200万吨，核心示范场肉猪全程料肉比降低0.3，</w:t>
      </w:r>
      <w:r>
        <w:rPr>
          <w:rFonts w:hint="eastAsia"/>
          <w:color w:val="000000" w:themeColor="text1"/>
          <w14:textFill>
            <w14:solidFill>
              <w14:schemeClr w14:val="tx1"/>
            </w14:solidFill>
          </w14:textFill>
        </w:rPr>
        <w:t>120kg体重日龄165天</w:t>
      </w:r>
      <w:r>
        <w:rPr>
          <w:color w:val="000000" w:themeColor="text1"/>
          <w14:textFill>
            <w14:solidFill>
              <w14:schemeClr w14:val="tx1"/>
            </w14:solidFill>
          </w14:textFill>
        </w:rPr>
        <w:t>；整体产品与技术水平国际先进。</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2.3有关说明：拟支持1项，支持经费不超过</w:t>
      </w:r>
      <w:r>
        <w:rPr>
          <w:rFonts w:hint="eastAsia"/>
          <w:color w:val="000000" w:themeColor="text1"/>
          <w:szCs w:val="32"/>
          <w14:textFill>
            <w14:solidFill>
              <w14:schemeClr w14:val="tx1"/>
            </w14:solidFill>
          </w14:textFill>
        </w:rPr>
        <w:t>25</w:t>
      </w:r>
      <w:r>
        <w:rPr>
          <w:color w:val="000000" w:themeColor="text1"/>
          <w:szCs w:val="32"/>
          <w14:textFill>
            <w14:solidFill>
              <w14:schemeClr w14:val="tx1"/>
            </w14:solidFill>
          </w14:textFill>
        </w:rPr>
        <w:t>00万元。</w:t>
      </w:r>
    </w:p>
    <w:p>
      <w:pPr>
        <w:widowControl w:val="0"/>
        <w:tabs>
          <w:tab w:val="left" w:pos="540"/>
        </w:tabs>
        <w:adjustRightInd w:val="0"/>
        <w:snapToGrid w:val="0"/>
        <w:spacing w:line="560" w:lineRule="exact"/>
        <w:ind w:firstLine="640" w:firstLineChars="200"/>
        <w:jc w:val="both"/>
        <w:rPr>
          <w:rFonts w:ascii="楷体_GB2312" w:eastAsia="楷体_GB2312"/>
          <w:color w:val="000000" w:themeColor="text1"/>
          <w:szCs w:val="32"/>
          <w14:textFill>
            <w14:solidFill>
              <w14:schemeClr w14:val="tx1"/>
            </w14:solidFill>
          </w14:textFill>
        </w:rPr>
      </w:pPr>
      <w:r>
        <w:rPr>
          <w:rFonts w:ascii="楷体_GB2312" w:eastAsia="楷体_GB2312"/>
          <w:color w:val="000000" w:themeColor="text1"/>
          <w:szCs w:val="32"/>
          <w14:textFill>
            <w14:solidFill>
              <w14:schemeClr w14:val="tx1"/>
            </w14:solidFill>
          </w14:textFill>
        </w:rPr>
        <w:t>项目3.川猪重大疫病防控新技术新产品创制。</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3.1</w:t>
      </w:r>
      <w:r>
        <w:rPr>
          <w:rFonts w:hint="eastAsia"/>
          <w:color w:val="000000" w:themeColor="text1"/>
          <w:szCs w:val="32"/>
          <w14:textFill>
            <w14:solidFill>
              <w14:schemeClr w14:val="tx1"/>
            </w14:solidFill>
          </w14:textFill>
        </w:rPr>
        <w:t>研究内容。本项目下设五个课题</w:t>
      </w:r>
      <w:r>
        <w:rPr>
          <w:color w:val="000000" w:themeColor="text1"/>
          <w:szCs w:val="32"/>
          <w14:textFill>
            <w14:solidFill>
              <w14:schemeClr w14:val="tx1"/>
            </w14:solidFill>
          </w14:textFill>
        </w:rPr>
        <w:t>。</w:t>
      </w:r>
    </w:p>
    <w:p>
      <w:pPr>
        <w:widowControl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课题1：</w:t>
      </w:r>
      <w:r>
        <w:rPr>
          <w:color w:val="000000" w:themeColor="text1"/>
          <w:szCs w:val="32"/>
          <w14:textFill>
            <w14:solidFill>
              <w14:schemeClr w14:val="tx1"/>
            </w14:solidFill>
          </w14:textFill>
        </w:rPr>
        <w:t>重大猪病精准识别剔除与净化技术</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w:t>
      </w:r>
    </w:p>
    <w:p>
      <w:pPr>
        <w:widowControl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应对猪场高度规模化和集约化所致疫情形势复杂严峻，研究突破非洲猪瘟等重大疫病的早期诊断、鉴别诊断技术瓶颈，创新精准快捷诊断技术；实现对非洲猪瘟感染个体精准剔除，染疫环境的精准恢复；规范操作、订立标准，对猪育种核心群猪瘟、伪狂犬、蓝耳病等重大疫病</w:t>
      </w:r>
      <w:r>
        <w:rPr>
          <w:rFonts w:hint="eastAsia"/>
          <w:color w:val="000000" w:themeColor="text1"/>
          <w14:textFill>
            <w14:solidFill>
              <w14:schemeClr w14:val="tx1"/>
            </w14:solidFill>
          </w14:textFill>
        </w:rPr>
        <w:t>进行</w:t>
      </w:r>
      <w:r>
        <w:rPr>
          <w:color w:val="000000" w:themeColor="text1"/>
          <w14:textFill>
            <w14:solidFill>
              <w14:schemeClr w14:val="tx1"/>
            </w14:solidFill>
          </w14:textFill>
        </w:rPr>
        <w:t>净化，</w:t>
      </w:r>
      <w:r>
        <w:rPr>
          <w:rFonts w:hint="eastAsia"/>
          <w:color w:val="000000" w:themeColor="text1"/>
          <w14:textFill>
            <w14:solidFill>
              <w14:schemeClr w14:val="tx1"/>
            </w14:solidFill>
          </w14:textFill>
        </w:rPr>
        <w:t>开展种猪场疫病净化相关认证</w:t>
      </w:r>
      <w:r>
        <w:rPr>
          <w:color w:val="000000" w:themeColor="text1"/>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课题2：</w:t>
      </w:r>
      <w:r>
        <w:rPr>
          <w:color w:val="000000" w:themeColor="text1"/>
          <w:szCs w:val="32"/>
          <w14:textFill>
            <w14:solidFill>
              <w14:schemeClr w14:val="tx1"/>
            </w14:solidFill>
          </w14:textFill>
        </w:rPr>
        <w:t>辅助防控非洲猪瘟等药物创制及猪场生物安全体系</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针对非洲猪瘟暂没有疫苗和特效药物可用于预防和治疗，结合非洲猪瘟病证特性及发病特点，科学组方及反复临床验效，食药同源抗病，营养调整免疫，研制有效辅助防控非洲猪瘟天然药物产品；形成科学规范应用方案，适用于不同环境及群体的辅助防控技术标准。在此基础上，研究评价生猪养殖场和基地生物安全体系，分析生物安全防控漏点，建立猪场非洲猪瘟综合防控生物安全体系，实现生物安全的量化评价。</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课题3：</w:t>
      </w:r>
      <w:r>
        <w:rPr>
          <w:color w:val="000000" w:themeColor="text1"/>
          <w:szCs w:val="32"/>
          <w14:textFill>
            <w14:solidFill>
              <w14:schemeClr w14:val="tx1"/>
            </w14:solidFill>
          </w14:textFill>
        </w:rPr>
        <w:t>猪重大疫病病原解析溯源及特色疫苗创制。</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明析严重制约川猪生产的蓝耳病、伪狂犬等重大疫病病原，定标代表菌（毒）株，解析重要基因功能，建立病原资源库，发掘利用建疫苗研制种毒库。研发针对四川蓝耳病、伪狂犬等疫病的特色疫苗，实现精准免疫。</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课题4：</w:t>
      </w:r>
      <w:r>
        <w:rPr>
          <w:color w:val="000000" w:themeColor="text1"/>
          <w:szCs w:val="32"/>
          <w14:textFill>
            <w14:solidFill>
              <w14:schemeClr w14:val="tx1"/>
            </w14:solidFill>
          </w14:textFill>
        </w:rPr>
        <w:t>减抗禁抗背景下猪细菌病的溯源及新产品创制。</w:t>
      </w:r>
    </w:p>
    <w:p>
      <w:pPr>
        <w:widowControl w:val="0"/>
        <w:tabs>
          <w:tab w:val="left" w:pos="540"/>
        </w:tabs>
        <w:adjustRightInd w:val="0"/>
        <w:snapToGrid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基于多组学，开展猪产业链中重要人畜共患细菌病监测和溯源，揭示猪重要病原菌变化及传播规律，为切断猪细菌病传播途径提供科学依据。创制猪沙门菌、弯曲菌快速检测方法，实现猪细菌病的快速诊断；创制猪用中药颗粒剂和分散片等抗生素替代品。</w:t>
      </w:r>
    </w:p>
    <w:p>
      <w:pPr>
        <w:widowControl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课题5：</w:t>
      </w:r>
      <w:r>
        <w:rPr>
          <w:color w:val="000000" w:themeColor="text1"/>
          <w:szCs w:val="32"/>
          <w14:textFill>
            <w14:solidFill>
              <w14:schemeClr w14:val="tx1"/>
            </w14:solidFill>
          </w14:textFill>
        </w:rPr>
        <w:t>猪病治疗用抗生素与人用抗生素交叉耐药</w:t>
      </w:r>
      <w:r>
        <w:rPr>
          <w:rFonts w:hint="eastAsia"/>
          <w:color w:val="000000" w:themeColor="text1"/>
          <w:szCs w:val="32"/>
          <w14:textFill>
            <w14:solidFill>
              <w14:schemeClr w14:val="tx1"/>
            </w14:solidFill>
          </w14:textFill>
        </w:rPr>
        <w:t>研究</w:t>
      </w:r>
      <w:r>
        <w:rPr>
          <w:color w:val="000000" w:themeColor="text1"/>
          <w:szCs w:val="32"/>
          <w14:textFill>
            <w14:solidFill>
              <w14:schemeClr w14:val="tx1"/>
            </w14:solidFill>
          </w14:textFill>
        </w:rPr>
        <w:t>。</w:t>
      </w:r>
    </w:p>
    <w:p>
      <w:pPr>
        <w:widowControl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探究猪病治疗用抗生素与人用抗生素交叉耐药形成机制，保障猪肉产品安全和公共卫生健康；基于病原细菌耐药性监测大数据，研究并揭示人医临床最后一道防线药物的耐药基因在猪源人畜共患细菌中的流行、传播扩散机制。在此基础上，制定在减抗、禁抗背景下的猪用药规范，保障产品健康。</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3.2考核指标。</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创制非洲猪瘟精准快捷诊断方法2种；制定重大疫病（猪瘟、蓝耳病、伪狂犬等）净化标准2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3项；创制非洲猪瘟辅助防控中兽药产品2个；制定非洲猪瘟生物安全防控标准1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2个；创制猪伪狂犬病变异株灭活疫苗和猪蓝耳病灭活疫苗；制定疫苗效果评价标准（伪狂犬、蓝耳病等）2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3项；创制猪细菌快速诊断试剂盒2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3种；开发猪用中药抗生素替代品1种；制定减抗、禁抗背景下的猪用药规范1套。建立非洲猪瘟、猪细菌诊断试剂盒、疫苗等产业化生产基地4</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5个，示范企业推广应用率90%以上，疫苗保护率90%以上，养殖用药降低50%，发病率降低10%以上，实现猪育种核心群猪瘟、伪狂犬、蓝耳病等重大疫病的净化。</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3.3有关说明：拟支持1项，支持经费不超过</w:t>
      </w:r>
      <w:r>
        <w:rPr>
          <w:rFonts w:hint="eastAsia"/>
          <w:color w:val="000000" w:themeColor="text1"/>
          <w:szCs w:val="32"/>
          <w14:textFill>
            <w14:solidFill>
              <w14:schemeClr w14:val="tx1"/>
            </w14:solidFill>
          </w14:textFill>
        </w:rPr>
        <w:t>17</w:t>
      </w:r>
      <w:r>
        <w:rPr>
          <w:color w:val="000000" w:themeColor="text1"/>
          <w:szCs w:val="32"/>
          <w14:textFill>
            <w14:solidFill>
              <w14:schemeClr w14:val="tx1"/>
            </w14:solidFill>
          </w14:textFill>
        </w:rPr>
        <w:t>00万元。</w:t>
      </w:r>
    </w:p>
    <w:p>
      <w:pPr>
        <w:widowControl w:val="0"/>
        <w:tabs>
          <w:tab w:val="left" w:pos="540"/>
        </w:tabs>
        <w:adjustRightInd w:val="0"/>
        <w:snapToGrid w:val="0"/>
        <w:spacing w:line="560" w:lineRule="exact"/>
        <w:ind w:firstLine="640" w:firstLineChars="200"/>
        <w:jc w:val="both"/>
        <w:rPr>
          <w:rFonts w:ascii="楷体_GB2312" w:eastAsia="楷体_GB2312"/>
          <w:color w:val="000000" w:themeColor="text1"/>
          <w:szCs w:val="32"/>
          <w14:textFill>
            <w14:solidFill>
              <w14:schemeClr w14:val="tx1"/>
            </w14:solidFill>
          </w14:textFill>
        </w:rPr>
      </w:pPr>
      <w:r>
        <w:rPr>
          <w:rFonts w:ascii="楷体_GB2312" w:eastAsia="楷体_GB2312"/>
          <w:color w:val="000000" w:themeColor="text1"/>
          <w:szCs w:val="32"/>
          <w14:textFill>
            <w14:solidFill>
              <w14:schemeClr w14:val="tx1"/>
            </w14:solidFill>
          </w14:textFill>
        </w:rPr>
        <w:t>项目4.川猪精细化智能养殖与环境精准控制。</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4.1</w:t>
      </w:r>
      <w:r>
        <w:rPr>
          <w:rFonts w:hint="eastAsia"/>
          <w:color w:val="000000" w:themeColor="text1"/>
          <w:szCs w:val="32"/>
          <w14:textFill>
            <w14:solidFill>
              <w14:schemeClr w14:val="tx1"/>
            </w14:solidFill>
          </w14:textFill>
        </w:rPr>
        <w:t>研究内容。本项目下设四个课题</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课题1：</w:t>
      </w:r>
      <w:r>
        <w:rPr>
          <w:color w:val="000000" w:themeColor="text1"/>
          <w:szCs w:val="32"/>
          <w14:textFill>
            <w14:solidFill>
              <w14:schemeClr w14:val="tx1"/>
            </w14:solidFill>
          </w14:textFill>
        </w:rPr>
        <w:t>川猪生产工艺及关键设备改造和利用。</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以提高生猪规模化养殖生产效率，充分发挥新品种（配套系）遗传潜力，研究提出适合周节律和批次化生产差异化饲养工艺，消化吸收国际先进现代生猪养殖装备关键技术，开展新型设施设备利用升级改造，研发楼房养猪环境控制工艺以及与之配套的饲料输送装备、液态和固态料精准饲喂设备及成套供给系统、猪身份识别电子耳标、生长和健康及环境智能监测设备、精液自动化生产成套设备等设施设备，提升不同规模猪场装备水平及养殖综合生产能力。开展中小农户圈舍改造，研发装配式猪舍，提出小农户标准化养殖技术规程，并进行示范。</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课题2：</w:t>
      </w:r>
      <w:r>
        <w:rPr>
          <w:color w:val="000000" w:themeColor="text1"/>
          <w:szCs w:val="32"/>
          <w14:textFill>
            <w14:solidFill>
              <w14:schemeClr w14:val="tx1"/>
            </w14:solidFill>
          </w14:textFill>
        </w:rPr>
        <w:t>川猪精细化饲养管理与新型饲喂技术</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针对我省自繁自养、代养和专业合作社等养殖模式，构建全繁殖周期和断奶-育肥生长全周期精细化、多阶段饲养管理模式；结合母猪分娩、仔猪断奶、转群、疫苗注射等生产活动下猪生理性变化，建立分娩管理、断奶保育、转群保健、疫苗增效、料形料态转换等特殊饲养关键技术，确保养殖全程实现精细化高效饲养管理；研发不同规模猪场新型饲喂技术，包括饲料现场调制关键技术如原料发酵预消化、菌酶协同、副产物液态调制等工艺参数，解决传统工业饲料生产工艺与猪生产发育规律及肠道微生物调控需求不匹配问题，充分发挥饲料效能、降低N排放；开展饲养饲喂技术-产品-猪场设备组装集成，形成可应用、可复制、可推广的综合技术方案。</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课题3：</w:t>
      </w:r>
      <w:r>
        <w:rPr>
          <w:color w:val="000000" w:themeColor="text1"/>
          <w:szCs w:val="32"/>
          <w14:textFill>
            <w14:solidFill>
              <w14:schemeClr w14:val="tx1"/>
            </w14:solidFill>
          </w14:textFill>
        </w:rPr>
        <w:t>川猪舍内环境精准调控技术。</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聚焦不同规模猪场舍内温湿度、气流分布不均匀等问题，通过计算流体力学技术（CFD）模拟猪舍内主要环境指标（温度、二氧化碳、硫化氢等）分布，并对实际环境参数的时空规律进行验证，提出猪舍内主要环境控制指标体系，在此基础上结合猪舍保温性能及舍内</w:t>
      </w:r>
      <w:r>
        <w:rPr>
          <w:rFonts w:hint="eastAsia"/>
          <w:color w:val="000000" w:themeColor="text1"/>
          <w14:textFill>
            <w14:solidFill>
              <w14:schemeClr w14:val="tx1"/>
            </w14:solidFill>
          </w14:textFill>
        </w:rPr>
        <w:t>环境状况开展</w:t>
      </w:r>
      <w:r>
        <w:rPr>
          <w:color w:val="000000" w:themeColor="text1"/>
          <w14:textFill>
            <w14:solidFill>
              <w14:schemeClr w14:val="tx1"/>
            </w14:solidFill>
          </w14:textFill>
        </w:rPr>
        <w:t>通风模式系统优化设计，建立基于空气动力学多元环境参数平衡的猪舍精准环境控制系统，提高猪舍内环境控制“精准化”水平。</w:t>
      </w:r>
    </w:p>
    <w:p>
      <w:pPr>
        <w:widowControl w:val="0"/>
        <w:tabs>
          <w:tab w:val="left" w:pos="540"/>
        </w:tabs>
        <w:adjustRightInd w:val="0"/>
        <w:snapToGrid w:val="0"/>
        <w:spacing w:line="560" w:lineRule="exact"/>
        <w:ind w:left="640" w:left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课题4：</w:t>
      </w:r>
      <w:r>
        <w:rPr>
          <w:color w:val="000000" w:themeColor="text1"/>
          <w:szCs w:val="32"/>
          <w14:textFill>
            <w14:solidFill>
              <w14:schemeClr w14:val="tx1"/>
            </w14:solidFill>
          </w14:textFill>
        </w:rPr>
        <w:t>基于数字化关键技术的川猪智能化养殖平台。</w:t>
      </w:r>
    </w:p>
    <w:p>
      <w:pPr>
        <w:widowControl w:val="0"/>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聚焦现代信息技术、人工智能和大数据应用，促进生猪养殖数字化转型。研发基于视频图像和射频识别技术（RFID）的精准猪只个体识别、行为跟踪和体温自动检测系统，在线监测采食时间、饮水次数、体温等指标，实现生猪养殖全过程的数字化与可视化；研发基于计算视觉的生猪体重测量，预测猪只体重和增重情况；研发基于多模态学习的生猪健康状态判定方法，实时监测预警个体健康；研发匹配全周期精细化饲养与饲喂的自动化、智能化技术及饲养效果反馈系统；在此基础上开发生猪智慧养殖大数据平台，收集、分析数据，实现生产绩效和指标</w:t>
      </w:r>
      <w:r>
        <w:rPr>
          <w:rFonts w:hint="eastAsia"/>
          <w:color w:val="000000" w:themeColor="text1"/>
          <w14:textFill>
            <w14:solidFill>
              <w14:schemeClr w14:val="tx1"/>
            </w14:solidFill>
          </w14:textFill>
        </w:rPr>
        <w:t>等数据的智能</w:t>
      </w:r>
      <w:r>
        <w:rPr>
          <w:color w:val="000000" w:themeColor="text1"/>
          <w14:textFill>
            <w14:solidFill>
              <w14:schemeClr w14:val="tx1"/>
            </w14:solidFill>
          </w14:textFill>
        </w:rPr>
        <w:t>预测，形成自动化、智能化养殖技术平台。</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4.2考核指标。</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构建不同养殖规模生产及饲养饲喂工艺5套以上，研发环境参数（空气质量、温湿度、光照）检测传感器3套；开发国产化精液自动生产装备1套，饲料调制及液态饲喂成套设备1套；形成川猪高效健康生产工艺标准2个；构建规模猪场饲料原料调制关键参数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8个；地方型副产物利用在饲料配方用量10%以上，饲料效率提高5%；研发楼房养猪等不同养殖模式下猪舍精准环境控制</w:t>
      </w:r>
      <w:r>
        <w:rPr>
          <w:rFonts w:hint="eastAsia"/>
          <w:color w:val="000000" w:themeColor="text1"/>
          <w14:textFill>
            <w14:solidFill>
              <w14:schemeClr w14:val="tx1"/>
            </w14:solidFill>
          </w14:textFill>
        </w:rPr>
        <w:t>指标</w:t>
      </w:r>
      <w:r>
        <w:rPr>
          <w:color w:val="000000" w:themeColor="text1"/>
          <w14:textFill>
            <w14:solidFill>
              <w14:schemeClr w14:val="tx1"/>
            </w14:solidFill>
          </w14:textFill>
        </w:rPr>
        <w:t>系统1套，形成中小农户标准化装备技术规程1套；研制生猪身份识别耳标及技术1套，生猪生长及健康智能化监测体系2套，生长和健康状态判定准确率达95%以上，智能化高效健康养殖物联网平台1个；形成川猪精细化智能养殖与环境精准控制技术标准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4个；建立示范基地3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5个，示范规模500万头以上，技术应用覆盖核心示范场80%以上。</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4.3有关说明：拟支持1项，支持经费不超过</w:t>
      </w:r>
      <w:r>
        <w:rPr>
          <w:rFonts w:hint="eastAsia"/>
          <w:color w:val="000000" w:themeColor="text1"/>
          <w:szCs w:val="32"/>
          <w14:textFill>
            <w14:solidFill>
              <w14:schemeClr w14:val="tx1"/>
            </w14:solidFill>
          </w14:textFill>
        </w:rPr>
        <w:t>16</w:t>
      </w:r>
      <w:r>
        <w:rPr>
          <w:color w:val="000000" w:themeColor="text1"/>
          <w:szCs w:val="32"/>
          <w14:textFill>
            <w14:solidFill>
              <w14:schemeClr w14:val="tx1"/>
            </w14:solidFill>
          </w14:textFill>
        </w:rPr>
        <w:t>00万元。</w:t>
      </w:r>
    </w:p>
    <w:p>
      <w:pPr>
        <w:widowControl w:val="0"/>
        <w:tabs>
          <w:tab w:val="left" w:pos="540"/>
        </w:tabs>
        <w:adjustRightInd w:val="0"/>
        <w:snapToGrid w:val="0"/>
        <w:spacing w:line="560" w:lineRule="exact"/>
        <w:ind w:firstLine="640" w:firstLineChars="200"/>
        <w:jc w:val="both"/>
        <w:rPr>
          <w:rFonts w:ascii="楷体_GB2312" w:eastAsia="楷体_GB2312"/>
          <w:color w:val="000000" w:themeColor="text1"/>
          <w:szCs w:val="32"/>
          <w14:textFill>
            <w14:solidFill>
              <w14:schemeClr w14:val="tx1"/>
            </w14:solidFill>
          </w14:textFill>
        </w:rPr>
      </w:pPr>
      <w:r>
        <w:rPr>
          <w:rFonts w:ascii="楷体_GB2312" w:eastAsia="楷体_GB2312"/>
          <w:color w:val="000000" w:themeColor="text1"/>
          <w:szCs w:val="32"/>
          <w14:textFill>
            <w14:solidFill>
              <w14:schemeClr w14:val="tx1"/>
            </w14:solidFill>
          </w14:textFill>
        </w:rPr>
        <w:t>项目5.川猪养殖污染控制与废弃物资源化利用。</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5.1</w:t>
      </w:r>
      <w:r>
        <w:rPr>
          <w:rFonts w:hint="eastAsia"/>
          <w:color w:val="000000" w:themeColor="text1"/>
          <w:szCs w:val="32"/>
          <w14:textFill>
            <w14:solidFill>
              <w14:schemeClr w14:val="tx1"/>
            </w14:solidFill>
          </w14:textFill>
        </w:rPr>
        <w:t>研究内容。本项目下设四个课题</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课题1：</w:t>
      </w:r>
      <w:r>
        <w:rPr>
          <w:color w:val="000000" w:themeColor="text1"/>
          <w:szCs w:val="32"/>
          <w14:textFill>
            <w14:solidFill>
              <w14:schemeClr w14:val="tx1"/>
            </w14:solidFill>
          </w14:textFill>
        </w:rPr>
        <w:t>新型高效规模猪场除臭菌剂</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与技术</w:t>
      </w:r>
      <w:r>
        <w:rPr>
          <w:rFonts w:hint="eastAsia"/>
          <w:color w:val="000000" w:themeColor="text1"/>
          <w:szCs w:val="32"/>
          <w14:textFill>
            <w14:solidFill>
              <w14:schemeClr w14:val="tx1"/>
            </w14:solidFill>
          </w14:textFill>
        </w:rPr>
        <w:t>集成应用</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针对规模猪场臭味影响大、现有除臭技术效果差、费用高等问题</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研制生猪体内臭味物质减排制剂和体外除臭复合菌剂，研发菌剂制备工艺，优化制备原料，降低菌剂费用；研究菌剂喷洒、投加方式与设备，降低劳动强度。针对不同猪场恶臭排放特点，集成物理、化学、生化工程除臭技术与设备，研究异位除臭关键工艺参数及技术适应性，形成经济高效的猪场除臭成套工艺设备，满足较高标准的除臭要求。</w:t>
      </w:r>
    </w:p>
    <w:p>
      <w:pPr>
        <w:widowControl w:val="0"/>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课题2：固态废弃物无害化处理与</w:t>
      </w:r>
      <w:r>
        <w:rPr>
          <w:color w:val="000000" w:themeColor="text1"/>
          <w:szCs w:val="32"/>
          <w14:textFill>
            <w14:solidFill>
              <w14:schemeClr w14:val="tx1"/>
            </w14:solidFill>
          </w14:textFill>
        </w:rPr>
        <w:t>高值化</w:t>
      </w:r>
      <w:r>
        <w:rPr>
          <w:rFonts w:hint="eastAsia"/>
          <w:color w:val="000000" w:themeColor="text1"/>
          <w:szCs w:val="32"/>
          <w14:textFill>
            <w14:solidFill>
              <w14:schemeClr w14:val="tx1"/>
            </w14:solidFill>
          </w14:textFill>
        </w:rPr>
        <w:t>利用</w:t>
      </w:r>
      <w:r>
        <w:rPr>
          <w:color w:val="000000" w:themeColor="text1"/>
          <w:szCs w:val="32"/>
          <w14:textFill>
            <w14:solidFill>
              <w14:schemeClr w14:val="tx1"/>
            </w14:solidFill>
          </w14:textFill>
        </w:rPr>
        <w:t>。</w:t>
      </w:r>
    </w:p>
    <w:p>
      <w:pPr>
        <w:widowControl w:val="0"/>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针对猪粪原料堆肥产品质量差、肥效低、有害物质难控制、经济价值不高等问题，研究猪粪减排保氮堆肥发酵新技术，降低养分排放，提高肥料腐熟度和有机肥氮磷钾养分含量；研究抗生素、重金属和病原菌等有害物质控制技术，提高堆肥品质；研究堆肥过程温室气体排放规律与调控技术，</w:t>
      </w:r>
      <w:r>
        <w:rPr>
          <w:rFonts w:hint="eastAsia"/>
          <w:color w:val="000000" w:themeColor="text1"/>
          <w14:textFill>
            <w14:solidFill>
              <w14:schemeClr w14:val="tx1"/>
            </w14:solidFill>
          </w14:textFill>
        </w:rPr>
        <w:t>助推无害化处理，</w:t>
      </w:r>
      <w:r>
        <w:rPr>
          <w:color w:val="000000" w:themeColor="text1"/>
          <w14:textFill>
            <w14:solidFill>
              <w14:schemeClr w14:val="tx1"/>
            </w14:solidFill>
          </w14:textFill>
        </w:rPr>
        <w:t>减少堆肥过程温室气体排放；结合茶叶、水果等主要经济作物的养分需要，有针对性地开发高值化专用有机无机复混肥，提高猪粪肥料化利用产品的经济价值。</w:t>
      </w:r>
      <w:r>
        <w:rPr>
          <w:rFonts w:hint="eastAsia"/>
          <w:color w:val="000000" w:themeColor="text1"/>
          <w14:textFill>
            <w14:solidFill>
              <w14:schemeClr w14:val="tx1"/>
            </w14:solidFill>
          </w14:textFill>
        </w:rPr>
        <w:t>开展</w:t>
      </w:r>
      <w:r>
        <w:rPr>
          <w:color w:val="000000" w:themeColor="text1"/>
          <w14:textFill>
            <w14:solidFill>
              <w14:schemeClr w14:val="tx1"/>
            </w14:solidFill>
          </w14:textFill>
        </w:rPr>
        <w:t>病死猪无害化处理技术研发</w:t>
      </w:r>
      <w:r>
        <w:rPr>
          <w:rFonts w:hint="eastAsia"/>
          <w:color w:val="000000" w:themeColor="text1"/>
          <w14:textFill>
            <w14:solidFill>
              <w14:schemeClr w14:val="tx1"/>
            </w14:solidFill>
          </w14:textFill>
        </w:rPr>
        <w:t>和应用</w:t>
      </w:r>
      <w:r>
        <w:rPr>
          <w:color w:val="000000" w:themeColor="text1"/>
          <w14:textFill>
            <w14:solidFill>
              <w14:schemeClr w14:val="tx1"/>
            </w14:solidFill>
          </w14:textFill>
        </w:rPr>
        <w:t>。</w:t>
      </w:r>
    </w:p>
    <w:p>
      <w:pPr>
        <w:widowControl w:val="0"/>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课题3：</w:t>
      </w:r>
      <w:r>
        <w:rPr>
          <w:color w:val="000000" w:themeColor="text1"/>
          <w:szCs w:val="32"/>
          <w14:textFill>
            <w14:solidFill>
              <w14:schemeClr w14:val="tx1"/>
            </w14:solidFill>
          </w14:textFill>
        </w:rPr>
        <w:t>经济适用的猪场粪水资源化利用。</w:t>
      </w:r>
    </w:p>
    <w:p>
      <w:pPr>
        <w:widowControl w:val="0"/>
        <w:adjustRightInd w:val="0"/>
        <w:snapToGrid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针对粪水/沼液养分含量变化大的问题，开发粪水/沼液养分实时快速检测方法与设备，为粪水/沼液快速利用提供施用依据。针对不同作物养分需求和土壤肥力，研究粪水、沼液养分平衡技术与施用方法；研发经济型粪水/沼液施用设备，提高粪水、沼液还田利用效率。筛选养分需求大的水生经济作物，研究以沼液为原料培养基质与栽培技术，提高沼液利用价值。针对不同规模猪场粪污处理缺乏经济适用技术模式问题，分析、评估现有处理利用技术的无害化、资源化效果以及经济适用性，集成国内外经济适用的猪场粪污处理方法以及研发的新技术和新装备，形成适合不同规模猪场的猪粪处理利用工艺、模式和成套设备解决方案。</w:t>
      </w:r>
    </w:p>
    <w:p>
      <w:pPr>
        <w:widowControl w:val="0"/>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课题4：</w:t>
      </w:r>
      <w:r>
        <w:rPr>
          <w:color w:val="000000" w:themeColor="text1"/>
          <w:szCs w:val="32"/>
          <w14:textFill>
            <w14:solidFill>
              <w14:schemeClr w14:val="tx1"/>
            </w14:solidFill>
          </w14:textFill>
        </w:rPr>
        <w:t>高效低排大型猪场废水深度处理技术</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w:t>
      </w:r>
    </w:p>
    <w:p>
      <w:pPr>
        <w:widowControl w:val="0"/>
        <w:adjustRightInd w:val="0"/>
        <w:snapToGrid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针对大型、特大型猪场液态粪污量大，难以完全还田利用，达标处理效果不稳定，能耗与处理费用高的问题，研究高效低碳猪场粪污厌氧、好氧处理利用技术，提高有机物、氮磷等污染物去除效率，降低处理过程能耗；研究沼液自养脱氮新技术，降低脱氮过程运行费用；集成创新生化处理出水深度处理技术，满足严格的入网或排放标准；研发猪场废水深度处理过程智能化控制技术与设备，提高处理系统运行稳定性，降低劳动强度与处理成本。</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5.2考核指标。</w:t>
      </w:r>
    </w:p>
    <w:p>
      <w:pPr>
        <w:widowControl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开发除臭制剂、高值化专用有机无机复混肥产品3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5个；形成臭气处理、猪粪堆肥、废水深度处理新技术3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5项；开发除臭剂喷洒、粪水/沼液施用、污水深度处理控制等设施设备2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4套；构建猪场除臭、猪粪制肥、粪水利用、废水达标处理等低碳环保技术体系3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4套；制定猪场除臭、粪水利用与处理技术规程或标准2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4项；研发成果在6</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10个规模猪场进行推广应用，提高生猪养殖臭气减排、粪污处理利用技术水平。</w:t>
      </w:r>
    </w:p>
    <w:p>
      <w:pPr>
        <w:widowControl w:val="0"/>
        <w:tabs>
          <w:tab w:val="left" w:pos="540"/>
        </w:tabs>
        <w:adjustRightInd w:val="0"/>
        <w:snapToGrid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除臭成套工艺对综合恶臭浓度（OU）去除率达到90%以上，除臭成本降低20%以上；猪粪堆肥产品价值提升20%以上；粪水/沼液利用价值提升20%以上；猪场废水处理总氮、总磷去除率达到90%以上，处理费用降低15%以上，处理出水达到《四川省岷江、沱江流域水污染物排放标准》（DB51/2311-2016）或《污水排入城镇下水道水质标准》（GB/T 31962-2015）；技术成果整体达到国际先进水平。</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5.3有关说明：拟支持1项，支持经费不超过1</w:t>
      </w:r>
      <w:r>
        <w:rPr>
          <w:rFonts w:hint="eastAsia"/>
          <w:color w:val="000000" w:themeColor="text1"/>
          <w:szCs w:val="32"/>
          <w14:textFill>
            <w14:solidFill>
              <w14:schemeClr w14:val="tx1"/>
            </w14:solidFill>
          </w14:textFill>
        </w:rPr>
        <w:t>2</w:t>
      </w:r>
      <w:r>
        <w:rPr>
          <w:color w:val="000000" w:themeColor="text1"/>
          <w:szCs w:val="32"/>
          <w14:textFill>
            <w14:solidFill>
              <w14:schemeClr w14:val="tx1"/>
            </w14:solidFill>
          </w14:textFill>
        </w:rPr>
        <w:t>00万元。</w:t>
      </w:r>
    </w:p>
    <w:p>
      <w:pPr>
        <w:widowControl w:val="0"/>
        <w:tabs>
          <w:tab w:val="left" w:pos="540"/>
        </w:tabs>
        <w:adjustRightInd w:val="0"/>
        <w:snapToGrid w:val="0"/>
        <w:spacing w:line="560" w:lineRule="exact"/>
        <w:ind w:firstLine="640" w:firstLineChars="200"/>
        <w:jc w:val="both"/>
        <w:rPr>
          <w:rFonts w:eastAsia="黑体"/>
          <w:color w:val="000000" w:themeColor="text1"/>
          <w:szCs w:val="32"/>
          <w14:textFill>
            <w14:solidFill>
              <w14:schemeClr w14:val="tx1"/>
            </w14:solidFill>
          </w14:textFill>
        </w:rPr>
      </w:pPr>
      <w:r>
        <w:rPr>
          <w:rFonts w:eastAsia="黑体"/>
          <w:color w:val="000000" w:themeColor="text1"/>
          <w:szCs w:val="32"/>
          <w14:textFill>
            <w14:solidFill>
              <w14:schemeClr w14:val="tx1"/>
            </w14:solidFill>
          </w14:textFill>
        </w:rPr>
        <w:t>五、申报要求</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1.以项目为单位整体申报，需涵盖项目全部研究内容和考核指标。</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w:t>
      </w:r>
      <w:r>
        <w:rPr>
          <w:color w:val="000000" w:themeColor="text1"/>
          <w:szCs w:val="32"/>
          <w14:textFill>
            <w14:solidFill>
              <w14:schemeClr w14:val="tx1"/>
            </w14:solidFill>
          </w14:textFill>
        </w:rPr>
        <w:t>项目自筹经费与申请经费比例不低于1:1，申报时须出具资金配套证明、相应附件。</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w:t>
      </w:r>
      <w:r>
        <w:rPr>
          <w:color w:val="000000" w:themeColor="text1"/>
          <w:szCs w:val="32"/>
          <w14:textFill>
            <w14:solidFill>
              <w14:schemeClr w14:val="tx1"/>
            </w14:solidFill>
          </w14:textFill>
        </w:rPr>
        <w:t>.每个项目联合申报单位不超过10家。</w:t>
      </w:r>
    </w:p>
    <w:p>
      <w:pPr>
        <w:tabs>
          <w:tab w:val="left" w:pos="540"/>
        </w:tabs>
        <w:adjustRightInd w:val="0"/>
        <w:snapToGrid w:val="0"/>
        <w:spacing w:line="560" w:lineRule="exact"/>
        <w:ind w:firstLine="640" w:firstLineChars="200"/>
        <w:rPr>
          <w:color w:val="000000" w:themeColor="text1"/>
          <w:szCs w:val="32"/>
          <w14:textFill>
            <w14:solidFill>
              <w14:schemeClr w14:val="tx1"/>
            </w14:solidFill>
          </w14:textFill>
        </w:rPr>
        <w:sectPr>
          <w:footerReference r:id="rId3" w:type="default"/>
          <w:footerReference r:id="rId4" w:type="even"/>
          <w:pgSz w:w="11906" w:h="16838"/>
          <w:pgMar w:top="2098" w:right="1474" w:bottom="1984" w:left="1588" w:header="851" w:footer="1531" w:gutter="0"/>
          <w:cols w:space="720" w:num="1"/>
          <w:docGrid w:type="lines" w:linePitch="579" w:charSpace="-849"/>
        </w:sectPr>
      </w:pPr>
    </w:p>
    <w:p>
      <w:pPr>
        <w:widowControl w:val="0"/>
        <w:adjustRightInd w:val="0"/>
        <w:snapToGrid w:val="0"/>
        <w:spacing w:line="570" w:lineRule="exact"/>
        <w:outlineLvl w:val="0"/>
        <w:rPr>
          <w:rFonts w:eastAsia="黑体"/>
          <w:color w:val="000000" w:themeColor="text1"/>
          <w:szCs w:val="32"/>
          <w14:textFill>
            <w14:solidFill>
              <w14:schemeClr w14:val="tx1"/>
            </w14:solidFill>
          </w14:textFill>
        </w:rPr>
      </w:pPr>
      <w:bookmarkStart w:id="1" w:name="_Toc56866828"/>
      <w:bookmarkStart w:id="2" w:name="_Toc67569184"/>
      <w:bookmarkStart w:id="3" w:name="_Toc66693216"/>
      <w:r>
        <w:rPr>
          <w:rFonts w:hint="eastAsia" w:ascii="黑体" w:hAnsi="黑体" w:eastAsia="黑体" w:cs="黑体"/>
          <w:color w:val="000000" w:themeColor="text1"/>
          <w:szCs w:val="32"/>
          <w14:textFill>
            <w14:solidFill>
              <w14:schemeClr w14:val="tx1"/>
            </w14:solidFill>
          </w14:textFill>
        </w:rPr>
        <w:t>附件</w:t>
      </w:r>
      <w:bookmarkEnd w:id="1"/>
      <w:bookmarkEnd w:id="2"/>
      <w:bookmarkEnd w:id="3"/>
      <w:r>
        <w:rPr>
          <w:rFonts w:eastAsia="黑体"/>
          <w:color w:val="000000" w:themeColor="text1"/>
          <w:szCs w:val="32"/>
          <w14:textFill>
            <w14:solidFill>
              <w14:schemeClr w14:val="tx1"/>
            </w14:solidFill>
          </w14:textFill>
        </w:rPr>
        <w:t>2</w:t>
      </w:r>
    </w:p>
    <w:p>
      <w:pPr>
        <w:widowControl w:val="0"/>
        <w:spacing w:line="570" w:lineRule="exact"/>
        <w:jc w:val="center"/>
        <w:rPr>
          <w:rFonts w:eastAsia="方正小标宋_GBK"/>
          <w:color w:val="000000" w:themeColor="text1"/>
          <w:sz w:val="44"/>
          <w:szCs w:val="44"/>
          <w14:textFill>
            <w14:solidFill>
              <w14:schemeClr w14:val="tx1"/>
            </w14:solidFill>
          </w14:textFill>
        </w:rPr>
      </w:pPr>
      <w:bookmarkStart w:id="4" w:name="_Toc56866829"/>
      <w:bookmarkStart w:id="5" w:name="_Toc64975808"/>
    </w:p>
    <w:p>
      <w:pPr>
        <w:widowControl w:val="0"/>
        <w:spacing w:line="570" w:lineRule="exact"/>
        <w:jc w:val="center"/>
        <w:rPr>
          <w:rFonts w:eastAsia="方正小标宋_GBK"/>
          <w:color w:val="000000" w:themeColor="text1"/>
          <w:sz w:val="44"/>
          <w:szCs w:val="44"/>
          <w14:textFill>
            <w14:solidFill>
              <w14:schemeClr w14:val="tx1"/>
            </w14:solidFill>
          </w14:textFill>
        </w:rPr>
      </w:pPr>
      <w:r>
        <w:rPr>
          <w:rFonts w:hint="eastAsia" w:eastAsia="方正小标宋_GBK"/>
          <w:color w:val="000000" w:themeColor="text1"/>
          <w:sz w:val="44"/>
          <w:szCs w:val="44"/>
          <w14:textFill>
            <w14:solidFill>
              <w14:schemeClr w14:val="tx1"/>
            </w14:solidFill>
          </w14:textFill>
        </w:rPr>
        <w:t>四川省“十四五”川猪重大科技专项实施方案</w:t>
      </w:r>
      <w:r>
        <w:rPr>
          <w:rFonts w:eastAsia="方正小标宋_GBK"/>
          <w:color w:val="000000" w:themeColor="text1"/>
          <w:sz w:val="44"/>
          <w:szCs w:val="44"/>
          <w14:textFill>
            <w14:solidFill>
              <w14:schemeClr w14:val="tx1"/>
            </w14:solidFill>
          </w14:textFill>
        </w:rPr>
        <w:t>编制专家组名单</w:t>
      </w:r>
    </w:p>
    <w:p>
      <w:pPr>
        <w:pStyle w:val="2"/>
        <w:ind w:firstLine="320"/>
        <w:rPr>
          <w:color w:val="000000" w:themeColor="text1"/>
          <w14:textFill>
            <w14:solidFill>
              <w14:schemeClr w14:val="tx1"/>
            </w14:solidFill>
          </w14:textFill>
        </w:rPr>
      </w:pPr>
    </w:p>
    <w:tbl>
      <w:tblPr>
        <w:tblStyle w:val="9"/>
        <w:tblW w:w="90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1"/>
        <w:gridCol w:w="1334"/>
        <w:gridCol w:w="3531"/>
        <w:gridCol w:w="2367"/>
        <w:gridCol w:w="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 w:hRule="atLeast"/>
          <w:jc w:val="center"/>
        </w:trPr>
        <w:tc>
          <w:tcPr>
            <w:tcW w:w="951" w:type="dxa"/>
            <w:vAlign w:val="center"/>
          </w:tcPr>
          <w:p>
            <w:pPr>
              <w:jc w:val="center"/>
              <w:textAlignment w:val="baseline"/>
              <w:rPr>
                <w:rStyle w:val="46"/>
                <w:rFonts w:eastAsia="楷体_GB2312"/>
                <w:color w:val="000000" w:themeColor="text1"/>
                <w:kern w:val="0"/>
                <w:szCs w:val="32"/>
                <w14:textFill>
                  <w14:solidFill>
                    <w14:schemeClr w14:val="tx1"/>
                  </w14:solidFill>
                </w14:textFill>
              </w:rPr>
            </w:pPr>
            <w:r>
              <w:rPr>
                <w:rStyle w:val="46"/>
                <w:rFonts w:eastAsia="楷体_GB2312"/>
                <w:color w:val="000000" w:themeColor="text1"/>
                <w:kern w:val="0"/>
                <w:szCs w:val="32"/>
                <w14:textFill>
                  <w14:solidFill>
                    <w14:schemeClr w14:val="tx1"/>
                  </w14:solidFill>
                </w14:textFill>
              </w:rPr>
              <w:t>序号</w:t>
            </w:r>
          </w:p>
        </w:tc>
        <w:tc>
          <w:tcPr>
            <w:tcW w:w="1334" w:type="dxa"/>
            <w:vAlign w:val="center"/>
          </w:tcPr>
          <w:p>
            <w:pPr>
              <w:jc w:val="center"/>
              <w:textAlignment w:val="baseline"/>
              <w:rPr>
                <w:rStyle w:val="46"/>
                <w:rFonts w:eastAsia="楷体_GB2312"/>
                <w:color w:val="000000" w:themeColor="text1"/>
                <w:kern w:val="0"/>
                <w:szCs w:val="32"/>
                <w14:textFill>
                  <w14:solidFill>
                    <w14:schemeClr w14:val="tx1"/>
                  </w14:solidFill>
                </w14:textFill>
              </w:rPr>
            </w:pPr>
            <w:r>
              <w:rPr>
                <w:rStyle w:val="46"/>
                <w:rFonts w:eastAsia="楷体_GB2312"/>
                <w:color w:val="000000" w:themeColor="text1"/>
                <w:kern w:val="0"/>
                <w:szCs w:val="32"/>
                <w14:textFill>
                  <w14:solidFill>
                    <w14:schemeClr w14:val="tx1"/>
                  </w14:solidFill>
                </w14:textFill>
              </w:rPr>
              <w:t>姓  名</w:t>
            </w:r>
          </w:p>
        </w:tc>
        <w:tc>
          <w:tcPr>
            <w:tcW w:w="3531" w:type="dxa"/>
            <w:vAlign w:val="center"/>
          </w:tcPr>
          <w:p>
            <w:pPr>
              <w:jc w:val="center"/>
              <w:textAlignment w:val="baseline"/>
              <w:rPr>
                <w:rStyle w:val="46"/>
                <w:rFonts w:eastAsia="楷体_GB2312"/>
                <w:color w:val="000000" w:themeColor="text1"/>
                <w:kern w:val="0"/>
                <w:szCs w:val="32"/>
                <w14:textFill>
                  <w14:solidFill>
                    <w14:schemeClr w14:val="tx1"/>
                  </w14:solidFill>
                </w14:textFill>
              </w:rPr>
            </w:pPr>
            <w:r>
              <w:rPr>
                <w:rStyle w:val="46"/>
                <w:rFonts w:eastAsia="楷体_GB2312"/>
                <w:color w:val="000000" w:themeColor="text1"/>
                <w:kern w:val="0"/>
                <w:szCs w:val="32"/>
                <w14:textFill>
                  <w14:solidFill>
                    <w14:schemeClr w14:val="tx1"/>
                  </w14:solidFill>
                </w14:textFill>
              </w:rPr>
              <w:t>单  位</w:t>
            </w:r>
          </w:p>
        </w:tc>
        <w:tc>
          <w:tcPr>
            <w:tcW w:w="2367" w:type="dxa"/>
            <w:vAlign w:val="center"/>
          </w:tcPr>
          <w:p>
            <w:pPr>
              <w:jc w:val="center"/>
              <w:textAlignment w:val="baseline"/>
              <w:rPr>
                <w:rStyle w:val="46"/>
                <w:rFonts w:eastAsia="楷体_GB2312"/>
                <w:color w:val="000000" w:themeColor="text1"/>
                <w:kern w:val="0"/>
                <w:szCs w:val="32"/>
                <w14:textFill>
                  <w14:solidFill>
                    <w14:schemeClr w14:val="tx1"/>
                  </w14:solidFill>
                </w14:textFill>
              </w:rPr>
            </w:pPr>
            <w:r>
              <w:rPr>
                <w:rStyle w:val="46"/>
                <w:rFonts w:eastAsia="楷体_GB2312"/>
                <w:color w:val="000000" w:themeColor="text1"/>
                <w:kern w:val="0"/>
                <w:szCs w:val="32"/>
                <w14:textFill>
                  <w14:solidFill>
                    <w14:schemeClr w14:val="tx1"/>
                  </w14:solidFill>
                </w14:textFill>
              </w:rPr>
              <w:t>职称/职务</w:t>
            </w:r>
          </w:p>
        </w:tc>
        <w:tc>
          <w:tcPr>
            <w:tcW w:w="916" w:type="dxa"/>
            <w:vAlign w:val="center"/>
          </w:tcPr>
          <w:p>
            <w:pPr>
              <w:jc w:val="center"/>
              <w:textAlignment w:val="baseline"/>
              <w:rPr>
                <w:rStyle w:val="46"/>
                <w:rFonts w:eastAsia="楷体_GB2312"/>
                <w:color w:val="000000" w:themeColor="text1"/>
                <w:kern w:val="0"/>
                <w:szCs w:val="32"/>
                <w14:textFill>
                  <w14:solidFill>
                    <w14:schemeClr w14:val="tx1"/>
                  </w14:solidFill>
                </w14:textFill>
              </w:rPr>
            </w:pPr>
            <w:r>
              <w:rPr>
                <w:rStyle w:val="46"/>
                <w:rFonts w:eastAsia="楷体_GB2312"/>
                <w:color w:val="000000" w:themeColor="text1"/>
                <w:kern w:val="0"/>
                <w:szCs w:val="32"/>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1</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陈代文</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教授/副校长</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2</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李明洲</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教授/副校长</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3</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何  军</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教授/副院长</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4</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吕学斌</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四川省畜牧科学研究院</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研究员/所长</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5</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徐志文</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6</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张安云</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四川大学</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7</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王文国</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农业部成都沼气所</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研究员</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8</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桑永胜</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四川大学计算机研究院</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副教授</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bl>
    <w:p>
      <w:pPr>
        <w:pStyle w:val="2"/>
        <w:ind w:firstLine="320"/>
        <w:rPr>
          <w:color w:val="000000" w:themeColor="text1"/>
          <w14:textFill>
            <w14:solidFill>
              <w14:schemeClr w14:val="tx1"/>
            </w14:solidFill>
          </w14:textFill>
        </w:rPr>
      </w:pPr>
    </w:p>
    <w:p>
      <w:pPr>
        <w:pStyle w:val="2"/>
        <w:ind w:firstLine="320"/>
        <w:rPr>
          <w:color w:val="000000" w:themeColor="text1"/>
          <w14:textFill>
            <w14:solidFill>
              <w14:schemeClr w14:val="tx1"/>
            </w14:solidFill>
          </w14:textFill>
        </w:rPr>
      </w:pPr>
    </w:p>
    <w:p>
      <w:pPr>
        <w:pStyle w:val="2"/>
        <w:ind w:firstLine="320"/>
        <w:rPr>
          <w:color w:val="000000" w:themeColor="text1"/>
          <w14:textFill>
            <w14:solidFill>
              <w14:schemeClr w14:val="tx1"/>
            </w14:solidFill>
          </w14:textFill>
        </w:rPr>
      </w:pPr>
    </w:p>
    <w:p>
      <w:pPr>
        <w:pStyle w:val="2"/>
        <w:ind w:firstLine="320"/>
        <w:rPr>
          <w:color w:val="000000" w:themeColor="text1"/>
          <w14:textFill>
            <w14:solidFill>
              <w14:schemeClr w14:val="tx1"/>
            </w14:solidFill>
          </w14:textFill>
        </w:rPr>
      </w:pPr>
    </w:p>
    <w:p>
      <w:pPr>
        <w:pStyle w:val="2"/>
        <w:ind w:firstLine="320"/>
        <w:rPr>
          <w:color w:val="000000" w:themeColor="text1"/>
          <w14:textFill>
            <w14:solidFill>
              <w14:schemeClr w14:val="tx1"/>
            </w14:solidFill>
          </w14:textFill>
        </w:rPr>
      </w:pPr>
    </w:p>
    <w:p>
      <w:pPr>
        <w:pStyle w:val="2"/>
        <w:ind w:firstLine="320"/>
        <w:rPr>
          <w:color w:val="000000" w:themeColor="text1"/>
          <w14:textFill>
            <w14:solidFill>
              <w14:schemeClr w14:val="tx1"/>
            </w14:solidFill>
          </w14:textFill>
        </w:rPr>
      </w:pPr>
    </w:p>
    <w:p>
      <w:pPr>
        <w:pStyle w:val="2"/>
        <w:ind w:firstLine="320"/>
        <w:rPr>
          <w:color w:val="000000" w:themeColor="text1"/>
          <w14:textFill>
            <w14:solidFill>
              <w14:schemeClr w14:val="tx1"/>
            </w14:solidFill>
          </w14:textFill>
        </w:rPr>
      </w:pPr>
    </w:p>
    <w:p>
      <w:pPr>
        <w:pStyle w:val="2"/>
        <w:ind w:firstLine="0" w:firstLineChars="0"/>
        <w:rPr>
          <w:rFonts w:eastAsia="黑体"/>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附件</w:t>
      </w:r>
      <w:r>
        <w:rPr>
          <w:rFonts w:eastAsia="黑体"/>
          <w:color w:val="000000" w:themeColor="text1"/>
          <w14:textFill>
            <w14:solidFill>
              <w14:schemeClr w14:val="tx1"/>
            </w14:solidFill>
          </w14:textFill>
        </w:rPr>
        <w:t>3</w:t>
      </w:r>
    </w:p>
    <w:p>
      <w:pPr>
        <w:pStyle w:val="2"/>
        <w:ind w:firstLine="0" w:firstLineChars="0"/>
        <w:rPr>
          <w:rFonts w:eastAsia="黑体"/>
          <w:color w:val="000000" w:themeColor="text1"/>
          <w14:textFill>
            <w14:solidFill>
              <w14:schemeClr w14:val="tx1"/>
            </w14:solidFill>
          </w14:textFill>
        </w:rPr>
      </w:pPr>
    </w:p>
    <w:p>
      <w:pPr>
        <w:widowControl w:val="0"/>
        <w:spacing w:line="570" w:lineRule="exact"/>
        <w:jc w:val="center"/>
        <w:rPr>
          <w:rFonts w:eastAsia="方正小标宋_GBK"/>
          <w:color w:val="000000" w:themeColor="text1"/>
          <w:sz w:val="44"/>
          <w:szCs w:val="44"/>
          <w14:textFill>
            <w14:solidFill>
              <w14:schemeClr w14:val="tx1"/>
            </w14:solidFill>
          </w14:textFill>
        </w:rPr>
      </w:pPr>
      <w:r>
        <w:rPr>
          <w:rFonts w:hint="eastAsia" w:eastAsia="方正小标宋_GBK"/>
          <w:color w:val="000000" w:themeColor="text1"/>
          <w:sz w:val="44"/>
          <w:szCs w:val="44"/>
          <w14:textFill>
            <w14:solidFill>
              <w14:schemeClr w14:val="tx1"/>
            </w14:solidFill>
          </w14:textFill>
        </w:rPr>
        <w:t>四川省“十四五”川猪重大科技专项</w:t>
      </w:r>
    </w:p>
    <w:p>
      <w:pPr>
        <w:widowControl w:val="0"/>
        <w:spacing w:line="570" w:lineRule="exact"/>
        <w:jc w:val="center"/>
        <w:rPr>
          <w:rFonts w:eastAsia="方正小标宋_GBK"/>
          <w:color w:val="000000" w:themeColor="text1"/>
          <w:sz w:val="44"/>
          <w:szCs w:val="44"/>
          <w14:textFill>
            <w14:solidFill>
              <w14:schemeClr w14:val="tx1"/>
            </w14:solidFill>
          </w14:textFill>
        </w:rPr>
      </w:pPr>
      <w:r>
        <w:rPr>
          <w:rFonts w:hint="eastAsia" w:eastAsia="方正小标宋_GBK"/>
          <w:color w:val="000000" w:themeColor="text1"/>
          <w:sz w:val="44"/>
          <w:szCs w:val="44"/>
          <w14:textFill>
            <w14:solidFill>
              <w14:schemeClr w14:val="tx1"/>
            </w14:solidFill>
          </w14:textFill>
        </w:rPr>
        <w:t>项目指南</w:t>
      </w:r>
      <w:r>
        <w:rPr>
          <w:rFonts w:eastAsia="方正小标宋_GBK"/>
          <w:color w:val="000000" w:themeColor="text1"/>
          <w:sz w:val="44"/>
          <w:szCs w:val="44"/>
          <w14:textFill>
            <w14:solidFill>
              <w14:schemeClr w14:val="tx1"/>
            </w14:solidFill>
          </w14:textFill>
        </w:rPr>
        <w:t>编制专家组名单</w:t>
      </w:r>
      <w:bookmarkEnd w:id="4"/>
      <w:bookmarkEnd w:id="5"/>
    </w:p>
    <w:p>
      <w:pPr>
        <w:pStyle w:val="2"/>
        <w:ind w:firstLine="320"/>
        <w:rPr>
          <w:color w:val="000000" w:themeColor="text1"/>
          <w14:textFill>
            <w14:solidFill>
              <w14:schemeClr w14:val="tx1"/>
            </w14:solidFill>
          </w14:textFill>
        </w:rPr>
      </w:pPr>
    </w:p>
    <w:tbl>
      <w:tblPr>
        <w:tblStyle w:val="9"/>
        <w:tblW w:w="90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1"/>
        <w:gridCol w:w="1334"/>
        <w:gridCol w:w="3531"/>
        <w:gridCol w:w="2367"/>
        <w:gridCol w:w="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jc w:val="center"/>
        </w:trPr>
        <w:tc>
          <w:tcPr>
            <w:tcW w:w="951" w:type="dxa"/>
            <w:vAlign w:val="center"/>
          </w:tcPr>
          <w:p>
            <w:pPr>
              <w:widowControl w:val="0"/>
              <w:spacing w:line="570" w:lineRule="exact"/>
              <w:jc w:val="center"/>
              <w:rPr>
                <w:rFonts w:ascii="黑体" w:hAnsi="黑体" w:eastAsia="黑体" w:cs="黑体"/>
                <w:color w:val="000000" w:themeColor="text1"/>
                <w:kern w:val="0"/>
                <w:szCs w:val="32"/>
                <w14:textFill>
                  <w14:solidFill>
                    <w14:schemeClr w14:val="tx1"/>
                  </w14:solidFill>
                </w14:textFill>
              </w:rPr>
            </w:pPr>
            <w:r>
              <w:rPr>
                <w:rFonts w:hint="eastAsia" w:ascii="黑体" w:hAnsi="黑体" w:eastAsia="黑体" w:cs="黑体"/>
                <w:color w:val="000000" w:themeColor="text1"/>
                <w:kern w:val="0"/>
                <w:szCs w:val="32"/>
                <w14:textFill>
                  <w14:solidFill>
                    <w14:schemeClr w14:val="tx1"/>
                  </w14:solidFill>
                </w14:textFill>
              </w:rPr>
              <w:t>序号</w:t>
            </w:r>
          </w:p>
        </w:tc>
        <w:tc>
          <w:tcPr>
            <w:tcW w:w="1334" w:type="dxa"/>
            <w:vAlign w:val="center"/>
          </w:tcPr>
          <w:p>
            <w:pPr>
              <w:widowControl w:val="0"/>
              <w:spacing w:line="570" w:lineRule="exact"/>
              <w:jc w:val="center"/>
              <w:rPr>
                <w:rFonts w:ascii="黑体" w:hAnsi="黑体" w:eastAsia="黑体" w:cs="黑体"/>
                <w:color w:val="000000" w:themeColor="text1"/>
                <w:kern w:val="0"/>
                <w:szCs w:val="32"/>
                <w14:textFill>
                  <w14:solidFill>
                    <w14:schemeClr w14:val="tx1"/>
                  </w14:solidFill>
                </w14:textFill>
              </w:rPr>
            </w:pPr>
            <w:r>
              <w:rPr>
                <w:rFonts w:hint="eastAsia" w:ascii="黑体" w:hAnsi="黑体" w:eastAsia="黑体" w:cs="黑体"/>
                <w:color w:val="000000" w:themeColor="text1"/>
                <w:kern w:val="0"/>
                <w:szCs w:val="32"/>
                <w14:textFill>
                  <w14:solidFill>
                    <w14:schemeClr w14:val="tx1"/>
                  </w14:solidFill>
                </w14:textFill>
              </w:rPr>
              <w:t>姓  名</w:t>
            </w:r>
          </w:p>
        </w:tc>
        <w:tc>
          <w:tcPr>
            <w:tcW w:w="3531" w:type="dxa"/>
            <w:vAlign w:val="center"/>
          </w:tcPr>
          <w:p>
            <w:pPr>
              <w:widowControl w:val="0"/>
              <w:spacing w:line="570" w:lineRule="exact"/>
              <w:jc w:val="center"/>
              <w:rPr>
                <w:rFonts w:ascii="黑体" w:hAnsi="黑体" w:eastAsia="黑体" w:cs="黑体"/>
                <w:color w:val="000000" w:themeColor="text1"/>
                <w:kern w:val="0"/>
                <w:szCs w:val="32"/>
                <w14:textFill>
                  <w14:solidFill>
                    <w14:schemeClr w14:val="tx1"/>
                  </w14:solidFill>
                </w14:textFill>
              </w:rPr>
            </w:pPr>
            <w:r>
              <w:rPr>
                <w:rFonts w:hint="eastAsia" w:ascii="黑体" w:hAnsi="黑体" w:eastAsia="黑体" w:cs="黑体"/>
                <w:color w:val="000000" w:themeColor="text1"/>
                <w:kern w:val="0"/>
                <w:szCs w:val="32"/>
                <w14:textFill>
                  <w14:solidFill>
                    <w14:schemeClr w14:val="tx1"/>
                  </w14:solidFill>
                </w14:textFill>
              </w:rPr>
              <w:t>单  位</w:t>
            </w:r>
          </w:p>
        </w:tc>
        <w:tc>
          <w:tcPr>
            <w:tcW w:w="2367" w:type="dxa"/>
            <w:vAlign w:val="center"/>
          </w:tcPr>
          <w:p>
            <w:pPr>
              <w:widowControl w:val="0"/>
              <w:spacing w:line="570" w:lineRule="exact"/>
              <w:jc w:val="center"/>
              <w:rPr>
                <w:rFonts w:ascii="黑体" w:hAnsi="黑体" w:eastAsia="黑体" w:cs="黑体"/>
                <w:color w:val="000000" w:themeColor="text1"/>
                <w:kern w:val="0"/>
                <w:szCs w:val="32"/>
                <w14:textFill>
                  <w14:solidFill>
                    <w14:schemeClr w14:val="tx1"/>
                  </w14:solidFill>
                </w14:textFill>
              </w:rPr>
            </w:pPr>
            <w:r>
              <w:rPr>
                <w:rFonts w:hint="eastAsia" w:ascii="黑体" w:hAnsi="黑体" w:eastAsia="黑体" w:cs="黑体"/>
                <w:color w:val="000000" w:themeColor="text1"/>
                <w:kern w:val="0"/>
                <w:szCs w:val="32"/>
                <w14:textFill>
                  <w14:solidFill>
                    <w14:schemeClr w14:val="tx1"/>
                  </w14:solidFill>
                </w14:textFill>
              </w:rPr>
              <w:t>职称/职务</w:t>
            </w:r>
          </w:p>
        </w:tc>
        <w:tc>
          <w:tcPr>
            <w:tcW w:w="916" w:type="dxa"/>
            <w:vAlign w:val="center"/>
          </w:tcPr>
          <w:p>
            <w:pPr>
              <w:widowControl w:val="0"/>
              <w:spacing w:line="570" w:lineRule="exact"/>
              <w:jc w:val="center"/>
              <w:rPr>
                <w:rFonts w:ascii="黑体" w:hAnsi="黑体" w:eastAsia="黑体" w:cs="黑体"/>
                <w:color w:val="000000" w:themeColor="text1"/>
                <w:kern w:val="0"/>
                <w:szCs w:val="32"/>
                <w14:textFill>
                  <w14:solidFill>
                    <w14:schemeClr w14:val="tx1"/>
                  </w14:solidFill>
                </w14:textFill>
              </w:rPr>
            </w:pPr>
            <w:r>
              <w:rPr>
                <w:rFonts w:hint="eastAsia" w:ascii="黑体" w:hAnsi="黑体" w:eastAsia="黑体" w:cs="黑体"/>
                <w:color w:val="000000" w:themeColor="text1"/>
                <w:kern w:val="0"/>
                <w:szCs w:val="32"/>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1</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陈代文</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教授/副校长</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2</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李明洲</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教授/副校长</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3</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何  军</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教授/副院长</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4</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吕学斌</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四川省畜牧科学研究院</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研究员/所长</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5</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徐志文</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6</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张安云</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四川大学</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7</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王文国</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农业部成都沼气所</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研究员</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8</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桑永胜</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四川大学计算机研究院</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副教授</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bl>
    <w:p>
      <w:pPr>
        <w:widowControl w:val="0"/>
        <w:tabs>
          <w:tab w:val="left" w:pos="540"/>
        </w:tabs>
        <w:adjustRightInd w:val="0"/>
        <w:snapToGrid w:val="0"/>
        <w:spacing w:line="560" w:lineRule="exact"/>
        <w:jc w:val="both"/>
        <w:rPr>
          <w:color w:val="000000" w:themeColor="text1"/>
          <w:szCs w:val="32"/>
          <w14:textFill>
            <w14:solidFill>
              <w14:schemeClr w14:val="tx1"/>
            </w14:solidFill>
          </w14:textFill>
        </w:rPr>
      </w:pPr>
    </w:p>
    <w:p>
      <w:pPr>
        <w:widowControl w:val="0"/>
        <w:spacing w:line="576" w:lineRule="exact"/>
        <w:rPr>
          <w:rFonts w:ascii="黑体" w:hAnsi="黑体" w:eastAsia="黑体" w:cs="黑体"/>
          <w:color w:val="000000" w:themeColor="text1"/>
          <w14:textFill>
            <w14:solidFill>
              <w14:schemeClr w14:val="tx1"/>
            </w14:solidFill>
          </w14:textFill>
        </w:rPr>
      </w:pPr>
    </w:p>
    <w:sectPr>
      <w:headerReference r:id="rId5" w:type="default"/>
      <w:footerReference r:id="rId7" w:type="default"/>
      <w:headerReference r:id="rId6" w:type="even"/>
      <w:footerReference r:id="rId8" w:type="even"/>
      <w:pgSz w:w="11906" w:h="16838"/>
      <w:pgMar w:top="1474" w:right="1985" w:bottom="1588" w:left="2041" w:header="851" w:footer="992" w:gutter="0"/>
      <w:cols w:space="425" w:num="1"/>
      <w:docGrid w:type="lines" w:linePitch="579" w:charSpace="-2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ind w:right="270"/>
      <w:jc w:val="right"/>
      <w:rPr>
        <w:rFonts w:eastAsia="宋体"/>
        <w:sz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tabs>
                              <w:tab w:val="center" w:pos="4153"/>
                              <w:tab w:val="right" w:pos="8306"/>
                            </w:tabs>
                            <w:snapToGrid w:val="0"/>
                            <w:ind w:right="270" w:firstLine="319" w:firstLineChars="114"/>
                            <w:jc w:val="right"/>
                          </w:pPr>
                          <w:r>
                            <w:rPr>
                              <w:rFonts w:hint="eastAsia" w:ascii="仿宋_GB2312" w:hAnsi="仿宋_GB2312" w:cs="仿宋_GB2312"/>
                              <w:sz w:val="28"/>
                              <w:szCs w:val="28"/>
                            </w:rPr>
                            <w:t>—</w:t>
                          </w:r>
                          <w:r>
                            <w:rPr>
                              <w:rFonts w:eastAsia="宋体"/>
                              <w:sz w:val="28"/>
                              <w:szCs w:val="28"/>
                            </w:rPr>
                            <w:fldChar w:fldCharType="begin"/>
                          </w:r>
                          <w:r>
                            <w:rPr>
                              <w:rFonts w:eastAsia="宋体"/>
                              <w:sz w:val="28"/>
                              <w:szCs w:val="28"/>
                            </w:rPr>
                            <w:instrText xml:space="preserve"> PAGE   \* MERGEFORMAT </w:instrText>
                          </w:r>
                          <w:r>
                            <w:rPr>
                              <w:rFonts w:eastAsia="宋体"/>
                              <w:sz w:val="28"/>
                              <w:szCs w:val="28"/>
                            </w:rPr>
                            <w:fldChar w:fldCharType="separate"/>
                          </w:r>
                          <w:r>
                            <w:rPr>
                              <w:rFonts w:eastAsia="宋体"/>
                              <w:sz w:val="28"/>
                              <w:szCs w:val="28"/>
                              <w:lang w:val="zh-CN"/>
                            </w:rPr>
                            <w:t>2</w:t>
                          </w:r>
                          <w:r>
                            <w:rPr>
                              <w:rFonts w:eastAsia="宋体"/>
                              <w:sz w:val="28"/>
                              <w:szCs w:val="28"/>
                            </w:rPr>
                            <w:fldChar w:fldCharType="end"/>
                          </w:r>
                          <w:r>
                            <w:rPr>
                              <w:rFonts w:hint="eastAsia" w:ascii="仿宋_GB2312" w:hAnsi="仿宋_GB2312" w:cs="仿宋_GB2312"/>
                              <w:sz w:val="28"/>
                              <w:szCs w:val="28"/>
                            </w:rPr>
                            <w:t>—</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widowControl w:val="0"/>
                      <w:tabs>
                        <w:tab w:val="center" w:pos="4153"/>
                        <w:tab w:val="right" w:pos="8306"/>
                      </w:tabs>
                      <w:snapToGrid w:val="0"/>
                      <w:ind w:right="270" w:firstLine="319" w:firstLineChars="114"/>
                      <w:jc w:val="right"/>
                    </w:pPr>
                    <w:r>
                      <w:rPr>
                        <w:rFonts w:hint="eastAsia" w:ascii="仿宋_GB2312" w:hAnsi="仿宋_GB2312" w:cs="仿宋_GB2312"/>
                        <w:sz w:val="28"/>
                        <w:szCs w:val="28"/>
                      </w:rPr>
                      <w:t>—</w:t>
                    </w:r>
                    <w:r>
                      <w:rPr>
                        <w:rFonts w:eastAsia="宋体"/>
                        <w:sz w:val="28"/>
                        <w:szCs w:val="28"/>
                      </w:rPr>
                      <w:fldChar w:fldCharType="begin"/>
                    </w:r>
                    <w:r>
                      <w:rPr>
                        <w:rFonts w:eastAsia="宋体"/>
                        <w:sz w:val="28"/>
                        <w:szCs w:val="28"/>
                      </w:rPr>
                      <w:instrText xml:space="preserve"> PAGE   \* MERGEFORMAT </w:instrText>
                    </w:r>
                    <w:r>
                      <w:rPr>
                        <w:rFonts w:eastAsia="宋体"/>
                        <w:sz w:val="28"/>
                        <w:szCs w:val="28"/>
                      </w:rPr>
                      <w:fldChar w:fldCharType="separate"/>
                    </w:r>
                    <w:r>
                      <w:rPr>
                        <w:rFonts w:eastAsia="宋体"/>
                        <w:sz w:val="28"/>
                        <w:szCs w:val="28"/>
                        <w:lang w:val="zh-CN"/>
                      </w:rPr>
                      <w:t>2</w:t>
                    </w:r>
                    <w:r>
                      <w:rPr>
                        <w:rFonts w:eastAsia="宋体"/>
                        <w:sz w:val="28"/>
                        <w:szCs w:val="28"/>
                      </w:rPr>
                      <w:fldChar w:fldCharType="end"/>
                    </w:r>
                    <w:r>
                      <w:rPr>
                        <w:rFonts w:hint="eastAsia" w:ascii="仿宋_GB2312" w:hAnsi="仿宋_GB2312" w:cs="仿宋_GB2312"/>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ind w:firstLine="420" w:firstLineChars="150"/>
      <w:rPr>
        <w:rFonts w:eastAsia="宋体"/>
        <w:sz w:val="24"/>
        <w:szCs w:val="24"/>
      </w:rPr>
    </w:pPr>
    <w:r>
      <w:rPr>
        <w:rFonts w:eastAsia="宋体"/>
        <w:sz w:val="28"/>
        <w:szCs w:val="28"/>
      </w:rPr>
      <w:t>—</w:t>
    </w:r>
    <w:r>
      <w:rPr>
        <w:rFonts w:eastAsia="宋体"/>
        <w:sz w:val="28"/>
        <w:szCs w:val="28"/>
      </w:rPr>
      <w:fldChar w:fldCharType="begin"/>
    </w:r>
    <w:r>
      <w:rPr>
        <w:rFonts w:eastAsia="宋体"/>
        <w:sz w:val="28"/>
        <w:szCs w:val="28"/>
      </w:rPr>
      <w:instrText xml:space="preserve"> PAGE   \* MERGEFORMAT </w:instrText>
    </w:r>
    <w:r>
      <w:rPr>
        <w:rFonts w:eastAsia="宋体"/>
        <w:sz w:val="28"/>
        <w:szCs w:val="28"/>
      </w:rPr>
      <w:fldChar w:fldCharType="separate"/>
    </w:r>
    <w:r>
      <w:rPr>
        <w:rFonts w:eastAsia="宋体"/>
        <w:sz w:val="28"/>
        <w:szCs w:val="28"/>
        <w:lang w:val="zh-CN"/>
      </w:rPr>
      <w:t>12</w:t>
    </w:r>
    <w:r>
      <w:rPr>
        <w:rFonts w:eastAsia="宋体"/>
        <w:sz w:val="28"/>
        <w:szCs w:val="28"/>
      </w:rPr>
      <w:fldChar w:fldCharType="end"/>
    </w:r>
    <w:r>
      <w:rPr>
        <w:rFonts w:eastAsia="宋体"/>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99117612"/>
    </w:sdtPr>
    <w:sdtEndPr>
      <w:rPr>
        <w:rFonts w:cs="Times New Roman" w:asciiTheme="minorEastAsia" w:hAnsiTheme="minorEastAsia"/>
        <w:sz w:val="24"/>
        <w:szCs w:val="24"/>
      </w:rPr>
    </w:sdtEndPr>
    <w:sdtContent>
      <w:p>
        <w:pPr>
          <w:pStyle w:val="6"/>
          <w:ind w:right="307" w:rightChars="96" w:firstLine="182"/>
          <w:jc w:val="right"/>
          <w:rPr>
            <w:rFonts w:cs="Times New Roman" w:asciiTheme="minorEastAsia" w:hAnsiTheme="minorEastAsia"/>
            <w:sz w:val="24"/>
            <w:szCs w:val="24"/>
          </w:rPr>
        </w:pPr>
        <w:r>
          <w:rPr>
            <w:rFonts w:cs="Times New Roman" w:asciiTheme="minorEastAsia" w:hAnsiTheme="minorEastAsia"/>
            <w:sz w:val="28"/>
            <w:szCs w:val="28"/>
          </w:rPr>
          <w:t>—</w:t>
        </w:r>
        <w:r>
          <w:rPr>
            <w:rFonts w:cs="Times New Roman" w:asciiTheme="minorEastAsia" w:hAnsiTheme="minorEastAsia"/>
            <w:sz w:val="28"/>
            <w:szCs w:val="28"/>
          </w:rPr>
          <w:fldChar w:fldCharType="begin"/>
        </w:r>
        <w:r>
          <w:rPr>
            <w:rFonts w:cs="Times New Roman" w:asciiTheme="minorEastAsia" w:hAnsiTheme="minorEastAsia"/>
            <w:sz w:val="28"/>
            <w:szCs w:val="28"/>
          </w:rPr>
          <w:instrText xml:space="preserve">PAGE   \* MERGEFORMAT</w:instrText>
        </w:r>
        <w:r>
          <w:rPr>
            <w:rFonts w:cs="Times New Roman" w:asciiTheme="minorEastAsia" w:hAnsiTheme="minorEastAsia"/>
            <w:sz w:val="28"/>
            <w:szCs w:val="28"/>
          </w:rPr>
          <w:fldChar w:fldCharType="separate"/>
        </w:r>
        <w:r>
          <w:rPr>
            <w:rFonts w:cs="Times New Roman" w:asciiTheme="minorEastAsia" w:hAnsiTheme="minorEastAsia"/>
            <w:sz w:val="28"/>
            <w:szCs w:val="28"/>
            <w:lang w:val="zh-CN"/>
          </w:rPr>
          <w:t>15</w:t>
        </w:r>
        <w:r>
          <w:rPr>
            <w:rFonts w:cs="Times New Roman" w:asciiTheme="minorEastAsia" w:hAnsiTheme="minorEastAsia"/>
            <w:sz w:val="28"/>
            <w:szCs w:val="28"/>
          </w:rPr>
          <w:fldChar w:fldCharType="end"/>
        </w:r>
        <w:r>
          <w:rPr>
            <w:rFonts w:cs="Times New Roman" w:asciiTheme="minorEastAsia" w:hAnsiTheme="minorEastAsia"/>
            <w:sz w:val="28"/>
            <w:szCs w:val="28"/>
          </w:rPr>
          <w:t>—</w:t>
        </w:r>
      </w:p>
    </w:sdtContent>
  </w:sdt>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82" w:firstLineChars="101"/>
      <w:rPr>
        <w:rFonts w:cs="Times New Roman" w:asciiTheme="minorEastAsia" w:hAnsiTheme="minorEastAsia"/>
        <w:sz w:val="28"/>
        <w:szCs w:val="28"/>
      </w:rPr>
    </w:pPr>
    <w:r>
      <w:rPr>
        <w:rFonts w:cs="Times New Roman" w:asciiTheme="minorEastAsia" w:hAnsiTheme="minorEastAsia"/>
        <w:sz w:val="28"/>
        <w:szCs w:val="28"/>
      </w:rPr>
      <w:t>—</w:t>
    </w:r>
    <w:sdt>
      <w:sdtPr>
        <w:rPr>
          <w:rFonts w:cs="Times New Roman" w:asciiTheme="minorEastAsia" w:hAnsiTheme="minorEastAsia"/>
          <w:sz w:val="28"/>
          <w:szCs w:val="28"/>
        </w:rPr>
        <w:id w:val="-1886551163"/>
      </w:sdtPr>
      <w:sdtEndPr>
        <w:rPr>
          <w:rFonts w:cs="Times New Roman" w:asciiTheme="minorEastAsia" w:hAnsiTheme="minorEastAsia"/>
          <w:sz w:val="28"/>
          <w:szCs w:val="28"/>
        </w:rPr>
      </w:sdtEndPr>
      <w:sdtContent>
        <w:r>
          <w:rPr>
            <w:rFonts w:cs="Times New Roman" w:asciiTheme="minorEastAsia" w:hAnsiTheme="minorEastAsia"/>
            <w:sz w:val="28"/>
            <w:szCs w:val="28"/>
          </w:rPr>
          <w:fldChar w:fldCharType="begin"/>
        </w:r>
        <w:r>
          <w:rPr>
            <w:rFonts w:cs="Times New Roman" w:asciiTheme="minorEastAsia" w:hAnsiTheme="minorEastAsia"/>
            <w:sz w:val="28"/>
            <w:szCs w:val="28"/>
          </w:rPr>
          <w:instrText xml:space="preserve">PAGE   \* MERGEFORMAT</w:instrText>
        </w:r>
        <w:r>
          <w:rPr>
            <w:rFonts w:cs="Times New Roman" w:asciiTheme="minorEastAsia" w:hAnsiTheme="minorEastAsia"/>
            <w:sz w:val="28"/>
            <w:szCs w:val="28"/>
          </w:rPr>
          <w:fldChar w:fldCharType="separate"/>
        </w:r>
        <w:r>
          <w:rPr>
            <w:rFonts w:cs="Times New Roman" w:asciiTheme="minorEastAsia" w:hAnsiTheme="minorEastAsia"/>
            <w:sz w:val="28"/>
            <w:szCs w:val="28"/>
            <w:lang w:val="zh-CN"/>
          </w:rPr>
          <w:t>4</w:t>
        </w:r>
        <w:r>
          <w:rPr>
            <w:rFonts w:cs="Times New Roman" w:asciiTheme="minorEastAsia" w:hAnsiTheme="minorEastAsia"/>
            <w:sz w:val="28"/>
            <w:szCs w:val="28"/>
          </w:rPr>
          <w:fldChar w:fldCharType="end"/>
        </w:r>
      </w:sdtContent>
    </w:sdt>
    <w:r>
      <w:rPr>
        <w:rFonts w:cs="Times New Roman" w:asciiTheme="minorEastAsia" w:hAnsiTheme="minorEastAsia"/>
        <w:sz w:val="28"/>
        <w:szCs w:val="28"/>
      </w:rPr>
      <w:t>—</w:t>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3C760A"/>
    <w:multiLevelType w:val="multilevel"/>
    <w:tmpl w:val="653C760A"/>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documentProtection w:enforcement="0"/>
  <w:defaultTabStop w:val="420"/>
  <w:drawingGridHorizontalSpacing w:val="160"/>
  <w:drawingGridVerticalSpacing w:val="57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0E7D"/>
    <w:rsid w:val="000000FE"/>
    <w:rsid w:val="0000060B"/>
    <w:rsid w:val="00006776"/>
    <w:rsid w:val="00006DA5"/>
    <w:rsid w:val="00006F27"/>
    <w:rsid w:val="00015C43"/>
    <w:rsid w:val="000205AF"/>
    <w:rsid w:val="000334EE"/>
    <w:rsid w:val="00035D0C"/>
    <w:rsid w:val="0005411F"/>
    <w:rsid w:val="00057896"/>
    <w:rsid w:val="00064896"/>
    <w:rsid w:val="00064D1A"/>
    <w:rsid w:val="000864E3"/>
    <w:rsid w:val="000A26CB"/>
    <w:rsid w:val="000A499F"/>
    <w:rsid w:val="000A55A3"/>
    <w:rsid w:val="000A6180"/>
    <w:rsid w:val="000B4BB1"/>
    <w:rsid w:val="000B7D7C"/>
    <w:rsid w:val="000E1DD3"/>
    <w:rsid w:val="000E500F"/>
    <w:rsid w:val="000E6CA4"/>
    <w:rsid w:val="00124491"/>
    <w:rsid w:val="001313C4"/>
    <w:rsid w:val="0014728D"/>
    <w:rsid w:val="001601DB"/>
    <w:rsid w:val="00160422"/>
    <w:rsid w:val="00160502"/>
    <w:rsid w:val="001719EC"/>
    <w:rsid w:val="00171D48"/>
    <w:rsid w:val="001843BD"/>
    <w:rsid w:val="00186339"/>
    <w:rsid w:val="001978E3"/>
    <w:rsid w:val="001A2A61"/>
    <w:rsid w:val="001A5741"/>
    <w:rsid w:val="001B71EA"/>
    <w:rsid w:val="001E1EAC"/>
    <w:rsid w:val="001E7B74"/>
    <w:rsid w:val="001F2B12"/>
    <w:rsid w:val="001F2D90"/>
    <w:rsid w:val="001F2E9B"/>
    <w:rsid w:val="00205393"/>
    <w:rsid w:val="0022397C"/>
    <w:rsid w:val="0022428F"/>
    <w:rsid w:val="00234400"/>
    <w:rsid w:val="0024465B"/>
    <w:rsid w:val="00257129"/>
    <w:rsid w:val="00270347"/>
    <w:rsid w:val="002749E2"/>
    <w:rsid w:val="00283AF1"/>
    <w:rsid w:val="002A237D"/>
    <w:rsid w:val="002A4B59"/>
    <w:rsid w:val="002B6AAB"/>
    <w:rsid w:val="002C1713"/>
    <w:rsid w:val="002C1B0C"/>
    <w:rsid w:val="002C2E43"/>
    <w:rsid w:val="002D2FC6"/>
    <w:rsid w:val="002D7E75"/>
    <w:rsid w:val="002E1CBE"/>
    <w:rsid w:val="002E2252"/>
    <w:rsid w:val="002E57A9"/>
    <w:rsid w:val="002F1AB6"/>
    <w:rsid w:val="00303107"/>
    <w:rsid w:val="0030535E"/>
    <w:rsid w:val="00307FE7"/>
    <w:rsid w:val="003100B5"/>
    <w:rsid w:val="00316441"/>
    <w:rsid w:val="00320E7D"/>
    <w:rsid w:val="00324DF0"/>
    <w:rsid w:val="00333620"/>
    <w:rsid w:val="0034506D"/>
    <w:rsid w:val="00347290"/>
    <w:rsid w:val="00352C8D"/>
    <w:rsid w:val="00366297"/>
    <w:rsid w:val="003908C4"/>
    <w:rsid w:val="003A3853"/>
    <w:rsid w:val="003A562C"/>
    <w:rsid w:val="003C753C"/>
    <w:rsid w:val="003E4FCB"/>
    <w:rsid w:val="003F00FF"/>
    <w:rsid w:val="003F1325"/>
    <w:rsid w:val="003F195A"/>
    <w:rsid w:val="003F1D69"/>
    <w:rsid w:val="0040412D"/>
    <w:rsid w:val="00406387"/>
    <w:rsid w:val="00421296"/>
    <w:rsid w:val="0043255B"/>
    <w:rsid w:val="0044290E"/>
    <w:rsid w:val="00446AAD"/>
    <w:rsid w:val="00456EE8"/>
    <w:rsid w:val="00473C7F"/>
    <w:rsid w:val="00482F9B"/>
    <w:rsid w:val="004B1BDC"/>
    <w:rsid w:val="004C691C"/>
    <w:rsid w:val="00521F01"/>
    <w:rsid w:val="005233DC"/>
    <w:rsid w:val="0052662D"/>
    <w:rsid w:val="005369ED"/>
    <w:rsid w:val="005536E2"/>
    <w:rsid w:val="005557B0"/>
    <w:rsid w:val="00555E8D"/>
    <w:rsid w:val="005677C2"/>
    <w:rsid w:val="00577953"/>
    <w:rsid w:val="00582203"/>
    <w:rsid w:val="00592ACD"/>
    <w:rsid w:val="005A6B4C"/>
    <w:rsid w:val="005B7D6F"/>
    <w:rsid w:val="005C4302"/>
    <w:rsid w:val="005D0E13"/>
    <w:rsid w:val="005D315F"/>
    <w:rsid w:val="005D4465"/>
    <w:rsid w:val="005E58B4"/>
    <w:rsid w:val="005F0E7E"/>
    <w:rsid w:val="0060189F"/>
    <w:rsid w:val="00615058"/>
    <w:rsid w:val="00651988"/>
    <w:rsid w:val="006579C6"/>
    <w:rsid w:val="006A7250"/>
    <w:rsid w:val="006B2333"/>
    <w:rsid w:val="006B445C"/>
    <w:rsid w:val="006C08EC"/>
    <w:rsid w:val="006C1208"/>
    <w:rsid w:val="006D03AE"/>
    <w:rsid w:val="006D5939"/>
    <w:rsid w:val="006E1AFB"/>
    <w:rsid w:val="006E5320"/>
    <w:rsid w:val="0072530E"/>
    <w:rsid w:val="00736EC2"/>
    <w:rsid w:val="00740C9A"/>
    <w:rsid w:val="00744BCA"/>
    <w:rsid w:val="00746EFD"/>
    <w:rsid w:val="00772D9A"/>
    <w:rsid w:val="007873A6"/>
    <w:rsid w:val="00794E34"/>
    <w:rsid w:val="007A152F"/>
    <w:rsid w:val="007A15DD"/>
    <w:rsid w:val="007B583C"/>
    <w:rsid w:val="00810CA1"/>
    <w:rsid w:val="008203C6"/>
    <w:rsid w:val="00836068"/>
    <w:rsid w:val="00836F27"/>
    <w:rsid w:val="0084674B"/>
    <w:rsid w:val="00851AD2"/>
    <w:rsid w:val="00882F3F"/>
    <w:rsid w:val="008907B5"/>
    <w:rsid w:val="00891A35"/>
    <w:rsid w:val="00894882"/>
    <w:rsid w:val="00895BD4"/>
    <w:rsid w:val="008964D7"/>
    <w:rsid w:val="008A51DB"/>
    <w:rsid w:val="008C01B6"/>
    <w:rsid w:val="008D3182"/>
    <w:rsid w:val="008E0C8C"/>
    <w:rsid w:val="008F02C7"/>
    <w:rsid w:val="008F4BA3"/>
    <w:rsid w:val="00904C83"/>
    <w:rsid w:val="00905F46"/>
    <w:rsid w:val="00927FD0"/>
    <w:rsid w:val="0093734A"/>
    <w:rsid w:val="00947BBF"/>
    <w:rsid w:val="0095693F"/>
    <w:rsid w:val="00964FF7"/>
    <w:rsid w:val="009677D9"/>
    <w:rsid w:val="00970CFB"/>
    <w:rsid w:val="009B3BF4"/>
    <w:rsid w:val="009B6F6F"/>
    <w:rsid w:val="009F2FA1"/>
    <w:rsid w:val="009F3298"/>
    <w:rsid w:val="009F657C"/>
    <w:rsid w:val="00A04496"/>
    <w:rsid w:val="00A06AAA"/>
    <w:rsid w:val="00A12B4C"/>
    <w:rsid w:val="00A20BAA"/>
    <w:rsid w:val="00A313A9"/>
    <w:rsid w:val="00A41B8D"/>
    <w:rsid w:val="00A424D4"/>
    <w:rsid w:val="00A42AB2"/>
    <w:rsid w:val="00A431E6"/>
    <w:rsid w:val="00A47A5A"/>
    <w:rsid w:val="00A61B13"/>
    <w:rsid w:val="00A76D2E"/>
    <w:rsid w:val="00A87D87"/>
    <w:rsid w:val="00A906A9"/>
    <w:rsid w:val="00A9145E"/>
    <w:rsid w:val="00AA18F8"/>
    <w:rsid w:val="00AA458B"/>
    <w:rsid w:val="00AB32F1"/>
    <w:rsid w:val="00AB64F0"/>
    <w:rsid w:val="00AB684D"/>
    <w:rsid w:val="00AC3724"/>
    <w:rsid w:val="00AF3AE7"/>
    <w:rsid w:val="00AF6A6E"/>
    <w:rsid w:val="00B24231"/>
    <w:rsid w:val="00B25B1B"/>
    <w:rsid w:val="00B26EE8"/>
    <w:rsid w:val="00B53524"/>
    <w:rsid w:val="00B5361C"/>
    <w:rsid w:val="00B54A0A"/>
    <w:rsid w:val="00B55149"/>
    <w:rsid w:val="00B624C7"/>
    <w:rsid w:val="00B656A8"/>
    <w:rsid w:val="00B66CE4"/>
    <w:rsid w:val="00B8014E"/>
    <w:rsid w:val="00B84481"/>
    <w:rsid w:val="00B865ED"/>
    <w:rsid w:val="00B916EC"/>
    <w:rsid w:val="00B94F8B"/>
    <w:rsid w:val="00BA2F4D"/>
    <w:rsid w:val="00BB21C5"/>
    <w:rsid w:val="00BB713F"/>
    <w:rsid w:val="00BE1F04"/>
    <w:rsid w:val="00BE5F27"/>
    <w:rsid w:val="00BF4924"/>
    <w:rsid w:val="00C0659B"/>
    <w:rsid w:val="00C173FA"/>
    <w:rsid w:val="00C1752B"/>
    <w:rsid w:val="00C20EC7"/>
    <w:rsid w:val="00C259C2"/>
    <w:rsid w:val="00C2751E"/>
    <w:rsid w:val="00C30A65"/>
    <w:rsid w:val="00C42CA5"/>
    <w:rsid w:val="00C5272D"/>
    <w:rsid w:val="00C55CF4"/>
    <w:rsid w:val="00C655F5"/>
    <w:rsid w:val="00C74C56"/>
    <w:rsid w:val="00CA30B4"/>
    <w:rsid w:val="00CB32F6"/>
    <w:rsid w:val="00CB4269"/>
    <w:rsid w:val="00CB5D98"/>
    <w:rsid w:val="00CC417B"/>
    <w:rsid w:val="00CC7B77"/>
    <w:rsid w:val="00CF10A6"/>
    <w:rsid w:val="00CF274C"/>
    <w:rsid w:val="00D00FB5"/>
    <w:rsid w:val="00D104B2"/>
    <w:rsid w:val="00D229A4"/>
    <w:rsid w:val="00D23DF1"/>
    <w:rsid w:val="00D23F4F"/>
    <w:rsid w:val="00D44BB7"/>
    <w:rsid w:val="00D46C7E"/>
    <w:rsid w:val="00D52FEC"/>
    <w:rsid w:val="00D555C9"/>
    <w:rsid w:val="00D60E27"/>
    <w:rsid w:val="00D67034"/>
    <w:rsid w:val="00D81BC1"/>
    <w:rsid w:val="00D82747"/>
    <w:rsid w:val="00D8329A"/>
    <w:rsid w:val="00D83387"/>
    <w:rsid w:val="00D854A2"/>
    <w:rsid w:val="00D930FF"/>
    <w:rsid w:val="00D94173"/>
    <w:rsid w:val="00D95BFF"/>
    <w:rsid w:val="00D9734B"/>
    <w:rsid w:val="00DA31CD"/>
    <w:rsid w:val="00DB019D"/>
    <w:rsid w:val="00DB5839"/>
    <w:rsid w:val="00DB7F3D"/>
    <w:rsid w:val="00DC6399"/>
    <w:rsid w:val="00DD518B"/>
    <w:rsid w:val="00DE4240"/>
    <w:rsid w:val="00E01D5A"/>
    <w:rsid w:val="00E0325A"/>
    <w:rsid w:val="00E07DB2"/>
    <w:rsid w:val="00E26787"/>
    <w:rsid w:val="00E51988"/>
    <w:rsid w:val="00E70BBF"/>
    <w:rsid w:val="00E841E6"/>
    <w:rsid w:val="00E904C2"/>
    <w:rsid w:val="00E9438E"/>
    <w:rsid w:val="00EA5F2A"/>
    <w:rsid w:val="00EA63DD"/>
    <w:rsid w:val="00EB455C"/>
    <w:rsid w:val="00EB7EC8"/>
    <w:rsid w:val="00ED0CCF"/>
    <w:rsid w:val="00ED343E"/>
    <w:rsid w:val="00ED5EFB"/>
    <w:rsid w:val="00EE69F5"/>
    <w:rsid w:val="00EF3AD0"/>
    <w:rsid w:val="00F01085"/>
    <w:rsid w:val="00F147E0"/>
    <w:rsid w:val="00F34E91"/>
    <w:rsid w:val="00F456B8"/>
    <w:rsid w:val="00F47797"/>
    <w:rsid w:val="00F506B1"/>
    <w:rsid w:val="00F50E60"/>
    <w:rsid w:val="00F74CF3"/>
    <w:rsid w:val="00F8505E"/>
    <w:rsid w:val="00F95005"/>
    <w:rsid w:val="00FA3D1E"/>
    <w:rsid w:val="00FA48B1"/>
    <w:rsid w:val="00FA4AA6"/>
    <w:rsid w:val="00FD22E4"/>
    <w:rsid w:val="00FD48B0"/>
    <w:rsid w:val="00FD68C9"/>
    <w:rsid w:val="00FE1579"/>
    <w:rsid w:val="03BF6C84"/>
    <w:rsid w:val="07DFA788"/>
    <w:rsid w:val="137772F9"/>
    <w:rsid w:val="13AB02B7"/>
    <w:rsid w:val="17FD5186"/>
    <w:rsid w:val="1DDE1B9D"/>
    <w:rsid w:val="1F7F4CEA"/>
    <w:rsid w:val="1FDE43CE"/>
    <w:rsid w:val="27CD37DC"/>
    <w:rsid w:val="2CD6B1F5"/>
    <w:rsid w:val="2CFB23D1"/>
    <w:rsid w:val="2F3FACFD"/>
    <w:rsid w:val="2FB35B38"/>
    <w:rsid w:val="2FFD3F9D"/>
    <w:rsid w:val="337F4956"/>
    <w:rsid w:val="37075F91"/>
    <w:rsid w:val="37B6F689"/>
    <w:rsid w:val="3B7B8E9E"/>
    <w:rsid w:val="3CEF8D6D"/>
    <w:rsid w:val="3EFDD6DA"/>
    <w:rsid w:val="3F2EA1ED"/>
    <w:rsid w:val="3F6E6218"/>
    <w:rsid w:val="3F77ADFD"/>
    <w:rsid w:val="3FF25F85"/>
    <w:rsid w:val="467FA712"/>
    <w:rsid w:val="49BCF374"/>
    <w:rsid w:val="4FDD6816"/>
    <w:rsid w:val="579FAEB7"/>
    <w:rsid w:val="58F5774F"/>
    <w:rsid w:val="5CFF99A0"/>
    <w:rsid w:val="5DEF65E6"/>
    <w:rsid w:val="5DF74853"/>
    <w:rsid w:val="5DFBBD4F"/>
    <w:rsid w:val="5DFF8D59"/>
    <w:rsid w:val="5FBF2E33"/>
    <w:rsid w:val="65BE02FE"/>
    <w:rsid w:val="66B6BF81"/>
    <w:rsid w:val="67FF3302"/>
    <w:rsid w:val="694B3F08"/>
    <w:rsid w:val="6E3EC9D5"/>
    <w:rsid w:val="6E559AC1"/>
    <w:rsid w:val="6EF533DA"/>
    <w:rsid w:val="6FED13B1"/>
    <w:rsid w:val="6FEFE8AE"/>
    <w:rsid w:val="71F7635E"/>
    <w:rsid w:val="723C0425"/>
    <w:rsid w:val="7247C461"/>
    <w:rsid w:val="72D63E54"/>
    <w:rsid w:val="72EF1752"/>
    <w:rsid w:val="769F6FA5"/>
    <w:rsid w:val="76FF77FB"/>
    <w:rsid w:val="773FA31F"/>
    <w:rsid w:val="77D7056D"/>
    <w:rsid w:val="77DFBFBC"/>
    <w:rsid w:val="77FB2D1B"/>
    <w:rsid w:val="77FEF242"/>
    <w:rsid w:val="77FFACB8"/>
    <w:rsid w:val="789FA9A2"/>
    <w:rsid w:val="7AF32242"/>
    <w:rsid w:val="7B3AF72B"/>
    <w:rsid w:val="7B4E42CC"/>
    <w:rsid w:val="7BBFAAEF"/>
    <w:rsid w:val="7BBFBEEF"/>
    <w:rsid w:val="7BCF6499"/>
    <w:rsid w:val="7BFD5F08"/>
    <w:rsid w:val="7E0FD371"/>
    <w:rsid w:val="7E56C932"/>
    <w:rsid w:val="7EDE4B4F"/>
    <w:rsid w:val="7EF62A10"/>
    <w:rsid w:val="7F3D1FD5"/>
    <w:rsid w:val="7F3F9DED"/>
    <w:rsid w:val="7F4C1788"/>
    <w:rsid w:val="7F7F298A"/>
    <w:rsid w:val="7FF75982"/>
    <w:rsid w:val="7FFC369E"/>
    <w:rsid w:val="7FFE4F57"/>
    <w:rsid w:val="7FFF9CE8"/>
    <w:rsid w:val="7FFFD079"/>
    <w:rsid w:val="8F3FC905"/>
    <w:rsid w:val="8FEEF354"/>
    <w:rsid w:val="977FC277"/>
    <w:rsid w:val="97FAFE13"/>
    <w:rsid w:val="9E7FDEE6"/>
    <w:rsid w:val="9F6B449D"/>
    <w:rsid w:val="9FD7FFAB"/>
    <w:rsid w:val="9FF7AE6A"/>
    <w:rsid w:val="A6F811B5"/>
    <w:rsid w:val="A7D9C82D"/>
    <w:rsid w:val="AE7306F6"/>
    <w:rsid w:val="AF5DF59D"/>
    <w:rsid w:val="AF6724A1"/>
    <w:rsid w:val="B01F2821"/>
    <w:rsid w:val="B5EFE307"/>
    <w:rsid w:val="B6691844"/>
    <w:rsid w:val="B7B30ED0"/>
    <w:rsid w:val="B7FFA969"/>
    <w:rsid w:val="B93FB9A0"/>
    <w:rsid w:val="B9F5B5BC"/>
    <w:rsid w:val="BEFEDBC1"/>
    <w:rsid w:val="BFD7C612"/>
    <w:rsid w:val="BFE7BE91"/>
    <w:rsid w:val="C77FB498"/>
    <w:rsid w:val="CFA755F3"/>
    <w:rsid w:val="CFB74189"/>
    <w:rsid w:val="CFEDA3AF"/>
    <w:rsid w:val="D3EC53AA"/>
    <w:rsid w:val="DBF4FAAE"/>
    <w:rsid w:val="DDEAAFF0"/>
    <w:rsid w:val="DEAFEFAF"/>
    <w:rsid w:val="DFEDAAB9"/>
    <w:rsid w:val="DFF20639"/>
    <w:rsid w:val="EB6DE394"/>
    <w:rsid w:val="EBA9ACBE"/>
    <w:rsid w:val="EBBFADA7"/>
    <w:rsid w:val="EE5D70A7"/>
    <w:rsid w:val="EE672F3D"/>
    <w:rsid w:val="EE6D13AC"/>
    <w:rsid w:val="EF3FF748"/>
    <w:rsid w:val="EFB6C9B4"/>
    <w:rsid w:val="EFBF604C"/>
    <w:rsid w:val="EFFD1262"/>
    <w:rsid w:val="F5B53F2B"/>
    <w:rsid w:val="F7DBBF69"/>
    <w:rsid w:val="F7FFB7F3"/>
    <w:rsid w:val="F9DFB1A8"/>
    <w:rsid w:val="FAE4D580"/>
    <w:rsid w:val="FAEAF853"/>
    <w:rsid w:val="FB7FEF4E"/>
    <w:rsid w:val="FBBCF6A0"/>
    <w:rsid w:val="FBDFC55B"/>
    <w:rsid w:val="FCBD02EE"/>
    <w:rsid w:val="FCDF842E"/>
    <w:rsid w:val="FCFB20EF"/>
    <w:rsid w:val="FCFF97B6"/>
    <w:rsid w:val="FDF4BC4A"/>
    <w:rsid w:val="FDF777C2"/>
    <w:rsid w:val="FDFE8141"/>
    <w:rsid w:val="FDFEBC03"/>
    <w:rsid w:val="FDFFEDD9"/>
    <w:rsid w:val="FFB38401"/>
    <w:rsid w:val="FFBE8895"/>
    <w:rsid w:val="FFDDEE68"/>
    <w:rsid w:val="FFDFFE34"/>
    <w:rsid w:val="FFEB9E37"/>
    <w:rsid w:val="FFED3402"/>
    <w:rsid w:val="FFEE7B23"/>
    <w:rsid w:val="FFEF5D02"/>
    <w:rsid w:val="FFFBE010"/>
    <w:rsid w:val="FFFBF2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仿宋_GB2312" w:cs="Times New Roman"/>
      <w:kern w:val="2"/>
      <w:sz w:val="32"/>
      <w:lang w:val="en-US" w:eastAsia="zh-CN" w:bidi="ar-SA"/>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First Indent"/>
    <w:basedOn w:val="3"/>
    <w:unhideWhenUsed/>
    <w:qFormat/>
    <w:uiPriority w:val="0"/>
    <w:pPr>
      <w:ind w:firstLine="420" w:firstLineChars="100"/>
    </w:pPr>
  </w:style>
  <w:style w:type="paragraph" w:styleId="3">
    <w:name w:val="Body Text"/>
    <w:basedOn w:val="1"/>
    <w:next w:val="4"/>
    <w:unhideWhenUsed/>
    <w:qFormat/>
    <w:uiPriority w:val="0"/>
    <w:pPr>
      <w:spacing w:after="120"/>
    </w:pPr>
  </w:style>
  <w:style w:type="paragraph" w:customStyle="1" w:styleId="4">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5">
    <w:name w:val="Balloon Text"/>
    <w:basedOn w:val="1"/>
    <w:link w:val="15"/>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pPr>
    <w:rPr>
      <w:rFonts w:asciiTheme="minorHAnsi" w:hAnsiTheme="minorHAnsi" w:eastAsiaTheme="minorEastAsia" w:cstheme="minorBidi"/>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8">
    <w:name w:val="Title"/>
    <w:basedOn w:val="1"/>
    <w:qFormat/>
    <w:uiPriority w:val="99"/>
    <w:pPr>
      <w:adjustRightInd w:val="0"/>
      <w:snapToGrid w:val="0"/>
      <w:spacing w:line="560" w:lineRule="exact"/>
      <w:jc w:val="center"/>
      <w:outlineLvl w:val="0"/>
    </w:pPr>
    <w:rPr>
      <w:rFonts w:ascii="方正小标宋_GBK" w:hAnsi="Arial" w:eastAsia="方正小标宋_GBK"/>
      <w:sz w:val="4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unhideWhenUsed/>
    <w:qFormat/>
    <w:uiPriority w:val="99"/>
    <w:rPr>
      <w:color w:val="0000FF"/>
      <w:u w:val="single"/>
    </w:rPr>
  </w:style>
  <w:style w:type="character" w:customStyle="1" w:styleId="13">
    <w:name w:val="页眉 Char"/>
    <w:basedOn w:val="11"/>
    <w:link w:val="7"/>
    <w:qFormat/>
    <w:uiPriority w:val="99"/>
    <w:rPr>
      <w:sz w:val="18"/>
      <w:szCs w:val="18"/>
    </w:rPr>
  </w:style>
  <w:style w:type="character" w:customStyle="1" w:styleId="14">
    <w:name w:val="页脚 Char"/>
    <w:basedOn w:val="11"/>
    <w:link w:val="6"/>
    <w:qFormat/>
    <w:uiPriority w:val="99"/>
    <w:rPr>
      <w:sz w:val="18"/>
      <w:szCs w:val="18"/>
    </w:rPr>
  </w:style>
  <w:style w:type="character" w:customStyle="1" w:styleId="15">
    <w:name w:val="批注框文本 Char"/>
    <w:basedOn w:val="11"/>
    <w:link w:val="5"/>
    <w:semiHidden/>
    <w:qFormat/>
    <w:uiPriority w:val="99"/>
    <w:rPr>
      <w:rFonts w:ascii="Times New Roman" w:hAnsi="Times New Roman" w:eastAsia="仿宋_GB2312" w:cs="Times New Roman"/>
      <w:sz w:val="18"/>
      <w:szCs w:val="18"/>
    </w:rPr>
  </w:style>
  <w:style w:type="paragraph" w:styleId="16">
    <w:name w:val="No Spacing"/>
    <w:qFormat/>
    <w:uiPriority w:val="1"/>
    <w:rPr>
      <w:rFonts w:ascii="Times New Roman" w:hAnsi="Times New Roman" w:eastAsia="仿宋_GB2312" w:cs="Times New Roman"/>
      <w:kern w:val="2"/>
      <w:sz w:val="32"/>
      <w:lang w:val="en-US" w:eastAsia="zh-CN" w:bidi="ar-SA"/>
    </w:rPr>
  </w:style>
  <w:style w:type="paragraph" w:customStyle="1" w:styleId="17">
    <w:name w:val="font0"/>
    <w:basedOn w:val="1"/>
    <w:qFormat/>
    <w:uiPriority w:val="0"/>
    <w:pPr>
      <w:spacing w:before="100" w:beforeAutospacing="1" w:after="100" w:afterAutospacing="1"/>
    </w:pPr>
    <w:rPr>
      <w:rFonts w:ascii="宋体" w:hAnsi="宋体" w:eastAsia="宋体" w:cs="宋体"/>
      <w:color w:val="000000"/>
      <w:kern w:val="0"/>
      <w:sz w:val="22"/>
      <w:szCs w:val="22"/>
    </w:rPr>
  </w:style>
  <w:style w:type="paragraph" w:customStyle="1" w:styleId="18">
    <w:name w:val="font5"/>
    <w:basedOn w:val="1"/>
    <w:qFormat/>
    <w:uiPriority w:val="0"/>
    <w:pPr>
      <w:spacing w:before="100" w:beforeAutospacing="1" w:after="100" w:afterAutospacing="1"/>
    </w:pPr>
    <w:rPr>
      <w:rFonts w:ascii="宋体" w:hAnsi="宋体" w:eastAsia="宋体" w:cs="宋体"/>
      <w:kern w:val="0"/>
      <w:sz w:val="18"/>
      <w:szCs w:val="18"/>
    </w:rPr>
  </w:style>
  <w:style w:type="paragraph" w:customStyle="1" w:styleId="19">
    <w:name w:val="font6"/>
    <w:basedOn w:val="1"/>
    <w:qFormat/>
    <w:uiPriority w:val="0"/>
    <w:pPr>
      <w:spacing w:before="100" w:beforeAutospacing="1" w:after="100" w:afterAutospacing="1"/>
    </w:pPr>
    <w:rPr>
      <w:rFonts w:ascii="宋体" w:hAnsi="宋体" w:eastAsia="宋体" w:cs="宋体"/>
      <w:kern w:val="0"/>
      <w:sz w:val="18"/>
      <w:szCs w:val="18"/>
    </w:rPr>
  </w:style>
  <w:style w:type="paragraph" w:customStyle="1" w:styleId="20">
    <w:name w:val="font7"/>
    <w:basedOn w:val="1"/>
    <w:qFormat/>
    <w:uiPriority w:val="0"/>
    <w:pPr>
      <w:spacing w:before="100" w:beforeAutospacing="1" w:after="100" w:afterAutospacing="1"/>
    </w:pPr>
    <w:rPr>
      <w:rFonts w:ascii="宋体" w:hAnsi="宋体" w:eastAsia="宋体" w:cs="宋体"/>
      <w:kern w:val="0"/>
      <w:sz w:val="18"/>
      <w:szCs w:val="18"/>
    </w:rPr>
  </w:style>
  <w:style w:type="paragraph" w:customStyle="1" w:styleId="21">
    <w:name w:val="font8"/>
    <w:basedOn w:val="1"/>
    <w:qFormat/>
    <w:uiPriority w:val="0"/>
    <w:pPr>
      <w:spacing w:before="100" w:beforeAutospacing="1" w:after="100" w:afterAutospacing="1"/>
    </w:pPr>
    <w:rPr>
      <w:rFonts w:ascii="仿宋_GB2312" w:hAnsi="宋体" w:cs="宋体"/>
      <w:b/>
      <w:bCs/>
      <w:kern w:val="0"/>
      <w:sz w:val="18"/>
      <w:szCs w:val="18"/>
    </w:rPr>
  </w:style>
  <w:style w:type="paragraph" w:customStyle="1" w:styleId="22">
    <w:name w:val="font9"/>
    <w:basedOn w:val="1"/>
    <w:qFormat/>
    <w:uiPriority w:val="0"/>
    <w:pPr>
      <w:spacing w:before="100" w:beforeAutospacing="1" w:after="100" w:afterAutospacing="1"/>
    </w:pPr>
    <w:rPr>
      <w:rFonts w:ascii="仿宋_GB2312" w:hAnsi="宋体" w:cs="宋体"/>
      <w:kern w:val="0"/>
      <w:sz w:val="18"/>
      <w:szCs w:val="18"/>
    </w:rPr>
  </w:style>
  <w:style w:type="paragraph" w:customStyle="1" w:styleId="23">
    <w:name w:val="xl66"/>
    <w:basedOn w:val="1"/>
    <w:qFormat/>
    <w:uiPriority w:val="0"/>
    <w:pPr>
      <w:spacing w:before="100" w:beforeAutospacing="1" w:after="100" w:afterAutospacing="1"/>
      <w:jc w:val="center"/>
    </w:pPr>
    <w:rPr>
      <w:rFonts w:ascii="宋体" w:hAnsi="宋体" w:eastAsia="宋体" w:cs="宋体"/>
      <w:kern w:val="0"/>
      <w:sz w:val="24"/>
      <w:szCs w:val="24"/>
    </w:rPr>
  </w:style>
  <w:style w:type="paragraph" w:customStyle="1" w:styleId="24">
    <w:name w:val="xl67"/>
    <w:basedOn w:val="1"/>
    <w:qFormat/>
    <w:uiPriority w:val="0"/>
    <w:pPr>
      <w:spacing w:before="100" w:beforeAutospacing="1" w:after="100" w:afterAutospacing="1"/>
    </w:pPr>
    <w:rPr>
      <w:rFonts w:ascii="宋体" w:hAnsi="宋体" w:eastAsia="宋体" w:cs="宋体"/>
      <w:kern w:val="0"/>
      <w:sz w:val="24"/>
      <w:szCs w:val="24"/>
    </w:rPr>
  </w:style>
  <w:style w:type="paragraph" w:customStyle="1" w:styleId="25">
    <w:name w:val="xl68"/>
    <w:basedOn w:val="1"/>
    <w:qFormat/>
    <w:uiPriority w:val="0"/>
    <w:pPr>
      <w:spacing w:before="100" w:beforeAutospacing="1" w:after="100" w:afterAutospacing="1"/>
    </w:pPr>
    <w:rPr>
      <w:rFonts w:ascii="宋体" w:hAnsi="宋体" w:eastAsia="宋体" w:cs="宋体"/>
      <w:kern w:val="0"/>
      <w:sz w:val="24"/>
      <w:szCs w:val="24"/>
    </w:rPr>
  </w:style>
  <w:style w:type="paragraph" w:customStyle="1" w:styleId="26">
    <w:name w:val="xl69"/>
    <w:basedOn w:val="1"/>
    <w:qFormat/>
    <w:uiPriority w:val="0"/>
    <w:pPr>
      <w:spacing w:before="100" w:beforeAutospacing="1" w:after="100" w:afterAutospacing="1"/>
    </w:pPr>
    <w:rPr>
      <w:rFonts w:ascii="仿宋_GB2312" w:hAnsi="宋体" w:cs="宋体"/>
      <w:kern w:val="0"/>
      <w:sz w:val="18"/>
      <w:szCs w:val="18"/>
    </w:rPr>
  </w:style>
  <w:style w:type="paragraph" w:customStyle="1" w:styleId="27">
    <w:name w:val="xl7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b/>
      <w:bCs/>
      <w:kern w:val="0"/>
      <w:sz w:val="20"/>
    </w:rPr>
  </w:style>
  <w:style w:type="paragraph" w:customStyle="1" w:styleId="28">
    <w:name w:val="xl7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黑体" w:hAnsi="黑体" w:eastAsia="黑体" w:cs="宋体"/>
      <w:b/>
      <w:bCs/>
      <w:kern w:val="0"/>
      <w:sz w:val="20"/>
    </w:rPr>
  </w:style>
  <w:style w:type="paragraph" w:customStyle="1" w:styleId="29">
    <w:name w:val="xl7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宋体"/>
      <w:b/>
      <w:bCs/>
      <w:kern w:val="0"/>
      <w:sz w:val="20"/>
    </w:rPr>
  </w:style>
  <w:style w:type="paragraph" w:customStyle="1" w:styleId="30">
    <w:name w:val="xl7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cs="宋体"/>
      <w:kern w:val="0"/>
      <w:sz w:val="18"/>
      <w:szCs w:val="18"/>
    </w:rPr>
  </w:style>
  <w:style w:type="paragraph" w:customStyle="1" w:styleId="31">
    <w:name w:val="xl7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仿宋_GB2312" w:hAnsi="宋体" w:cs="宋体"/>
      <w:kern w:val="0"/>
      <w:sz w:val="18"/>
      <w:szCs w:val="18"/>
    </w:rPr>
  </w:style>
  <w:style w:type="paragraph" w:customStyle="1" w:styleId="32">
    <w:name w:val="xl7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黑体" w:hAnsi="黑体" w:eastAsia="黑体" w:cs="宋体"/>
      <w:b/>
      <w:bCs/>
      <w:kern w:val="0"/>
      <w:sz w:val="24"/>
      <w:szCs w:val="24"/>
    </w:rPr>
  </w:style>
  <w:style w:type="paragraph" w:customStyle="1" w:styleId="33">
    <w:name w:val="xl7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宋体"/>
      <w:kern w:val="0"/>
      <w:sz w:val="24"/>
      <w:szCs w:val="24"/>
    </w:rPr>
  </w:style>
  <w:style w:type="paragraph" w:styleId="34">
    <w:name w:val="List Paragraph"/>
    <w:basedOn w:val="1"/>
    <w:qFormat/>
    <w:uiPriority w:val="34"/>
    <w:pPr>
      <w:ind w:firstLine="420" w:firstLineChars="200"/>
    </w:pPr>
  </w:style>
  <w:style w:type="character" w:customStyle="1" w:styleId="35">
    <w:name w:val="font71"/>
    <w:basedOn w:val="11"/>
    <w:qFormat/>
    <w:uiPriority w:val="0"/>
    <w:rPr>
      <w:rFonts w:hint="eastAsia" w:ascii="宋体" w:hAnsi="宋体" w:eastAsia="宋体" w:cs="宋体"/>
      <w:color w:val="000000"/>
      <w:sz w:val="18"/>
      <w:szCs w:val="18"/>
      <w:u w:val="none"/>
    </w:rPr>
  </w:style>
  <w:style w:type="character" w:customStyle="1" w:styleId="36">
    <w:name w:val="font21"/>
    <w:basedOn w:val="11"/>
    <w:qFormat/>
    <w:uiPriority w:val="0"/>
    <w:rPr>
      <w:rFonts w:hint="eastAsia" w:ascii="宋体" w:hAnsi="宋体" w:eastAsia="宋体" w:cs="宋体"/>
      <w:color w:val="000000"/>
      <w:sz w:val="18"/>
      <w:szCs w:val="18"/>
      <w:u w:val="none"/>
    </w:rPr>
  </w:style>
  <w:style w:type="character" w:customStyle="1" w:styleId="37">
    <w:name w:val="font11"/>
    <w:basedOn w:val="11"/>
    <w:qFormat/>
    <w:uiPriority w:val="0"/>
    <w:rPr>
      <w:rFonts w:hint="eastAsia" w:ascii="宋体" w:hAnsi="宋体" w:eastAsia="宋体" w:cs="宋体"/>
      <w:color w:val="000000"/>
      <w:sz w:val="18"/>
      <w:szCs w:val="18"/>
      <w:u w:val="none"/>
    </w:rPr>
  </w:style>
  <w:style w:type="character" w:customStyle="1" w:styleId="38">
    <w:name w:val="font41"/>
    <w:basedOn w:val="11"/>
    <w:qFormat/>
    <w:uiPriority w:val="0"/>
    <w:rPr>
      <w:rFonts w:hint="eastAsia" w:ascii="宋体" w:hAnsi="宋体" w:eastAsia="宋体" w:cs="宋体"/>
      <w:color w:val="000000"/>
      <w:sz w:val="20"/>
      <w:szCs w:val="20"/>
      <w:u w:val="none"/>
    </w:rPr>
  </w:style>
  <w:style w:type="character" w:customStyle="1" w:styleId="39">
    <w:name w:val="font101"/>
    <w:basedOn w:val="11"/>
    <w:qFormat/>
    <w:uiPriority w:val="0"/>
    <w:rPr>
      <w:rFonts w:hint="eastAsia" w:ascii="仿宋_GB2312" w:eastAsia="仿宋_GB2312" w:cs="仿宋_GB2312"/>
      <w:color w:val="000000"/>
      <w:sz w:val="20"/>
      <w:szCs w:val="20"/>
      <w:u w:val="none"/>
    </w:rPr>
  </w:style>
  <w:style w:type="character" w:customStyle="1" w:styleId="40">
    <w:name w:val="font91"/>
    <w:basedOn w:val="11"/>
    <w:qFormat/>
    <w:uiPriority w:val="0"/>
    <w:rPr>
      <w:rFonts w:hint="eastAsia" w:ascii="仿宋_GB2312" w:eastAsia="仿宋_GB2312" w:cs="仿宋_GB2312"/>
      <w:color w:val="000000"/>
      <w:sz w:val="20"/>
      <w:szCs w:val="20"/>
      <w:u w:val="none"/>
    </w:rPr>
  </w:style>
  <w:style w:type="character" w:customStyle="1" w:styleId="41">
    <w:name w:val="font31"/>
    <w:basedOn w:val="11"/>
    <w:qFormat/>
    <w:uiPriority w:val="0"/>
    <w:rPr>
      <w:rFonts w:hint="eastAsia" w:ascii="仿宋_GB2312" w:eastAsia="仿宋_GB2312" w:cs="仿宋_GB2312"/>
      <w:color w:val="000000"/>
      <w:sz w:val="20"/>
      <w:szCs w:val="20"/>
      <w:u w:val="none"/>
    </w:rPr>
  </w:style>
  <w:style w:type="character" w:customStyle="1" w:styleId="42">
    <w:name w:val="font51"/>
    <w:basedOn w:val="11"/>
    <w:qFormat/>
    <w:uiPriority w:val="0"/>
    <w:rPr>
      <w:rFonts w:hint="eastAsia" w:ascii="仿宋_GB2312" w:eastAsia="仿宋_GB2312" w:cs="仿宋_GB2312"/>
      <w:color w:val="000000"/>
      <w:sz w:val="20"/>
      <w:szCs w:val="20"/>
      <w:u w:val="none"/>
    </w:rPr>
  </w:style>
  <w:style w:type="character" w:customStyle="1" w:styleId="43">
    <w:name w:val="font112"/>
    <w:basedOn w:val="11"/>
    <w:qFormat/>
    <w:uiPriority w:val="0"/>
    <w:rPr>
      <w:rFonts w:hint="eastAsia" w:ascii="仿宋_GB2312" w:eastAsia="仿宋_GB2312" w:cs="仿宋_GB2312"/>
      <w:color w:val="000000"/>
      <w:sz w:val="20"/>
      <w:szCs w:val="20"/>
      <w:u w:val="none"/>
    </w:rPr>
  </w:style>
  <w:style w:type="character" w:customStyle="1" w:styleId="44">
    <w:name w:val="font01"/>
    <w:basedOn w:val="11"/>
    <w:qFormat/>
    <w:uiPriority w:val="0"/>
    <w:rPr>
      <w:rFonts w:hint="eastAsia" w:ascii="宋体" w:hAnsi="宋体" w:eastAsia="宋体" w:cs="宋体"/>
      <w:color w:val="000000"/>
      <w:sz w:val="20"/>
      <w:szCs w:val="20"/>
      <w:u w:val="none"/>
    </w:rPr>
  </w:style>
  <w:style w:type="character" w:customStyle="1" w:styleId="45">
    <w:name w:val="font121"/>
    <w:basedOn w:val="11"/>
    <w:qFormat/>
    <w:uiPriority w:val="0"/>
    <w:rPr>
      <w:rFonts w:hint="eastAsia" w:ascii="仿宋_GB2312" w:eastAsia="仿宋_GB2312" w:cs="仿宋_GB2312"/>
      <w:color w:val="000000"/>
      <w:sz w:val="20"/>
      <w:szCs w:val="20"/>
      <w:u w:val="none"/>
    </w:rPr>
  </w:style>
  <w:style w:type="character" w:customStyle="1" w:styleId="46">
    <w:name w:val="NormalCharacter"/>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1066</Words>
  <Characters>6078</Characters>
  <Lines>50</Lines>
  <Paragraphs>14</Paragraphs>
  <TotalTime>2</TotalTime>
  <ScaleCrop>false</ScaleCrop>
  <LinksUpToDate>false</LinksUpToDate>
  <CharactersWithSpaces>7130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2021-01-03T01:46:00Z</dcterms:created>
  <dc:creator>wyz</dc:creator>
  <cp:lastModifiedBy>寒秋</cp:lastModifiedBy>
  <cp:lastPrinted>2021-05-19T00:38:00Z</cp:lastPrinted>
  <dcterms:modified xsi:type="dcterms:W3CDTF">2021-05-19T03:10:13Z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3BC691F956914AF7877FE03DC03D93E6</vt:lpwstr>
  </property>
</Properties>
</file>